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61" w:rsidRPr="00E81A61" w:rsidRDefault="00E81A61" w:rsidP="00E81A61">
      <w:pPr>
        <w:pStyle w:val="sgc"/>
        <w:numPr>
          <w:ilvl w:val="0"/>
          <w:numId w:val="0"/>
        </w:numPr>
        <w:ind w:left="420" w:hanging="420"/>
        <w:jc w:val="center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COMPILADO DE DEMANDAS</w:t>
      </w:r>
    </w:p>
    <w:p w:rsidR="005C7B6A" w:rsidRDefault="005C7B6A" w:rsidP="00E81A61">
      <w:pPr>
        <w:rPr>
          <w:rFonts w:ascii="Calibri" w:eastAsia="Times New Roman" w:hAnsi="Calibri" w:cs="Arial"/>
          <w:bCs/>
          <w:color w:val="000000" w:themeColor="text1"/>
          <w:lang w:eastAsia="pt-BR"/>
        </w:rPr>
      </w:pPr>
    </w:p>
    <w:p w:rsidR="00AE5ABE" w:rsidRDefault="00E81A61" w:rsidP="00E81A61">
      <w:pPr>
        <w:rPr>
          <w:rFonts w:ascii="Calibri" w:hAnsi="Calibri" w:cs="Arial"/>
          <w:bCs/>
          <w:color w:val="000000" w:themeColor="text1"/>
        </w:rPr>
      </w:pPr>
      <w:r w:rsidRPr="00E81A61">
        <w:rPr>
          <w:rFonts w:ascii="Calibri" w:eastAsia="Times New Roman" w:hAnsi="Calibri" w:cs="Arial"/>
          <w:bCs/>
          <w:color w:val="000000" w:themeColor="text1"/>
          <w:lang w:eastAsia="pt-BR"/>
        </w:rPr>
        <w:t xml:space="preserve">Em </w:t>
      </w:r>
      <w:r>
        <w:rPr>
          <w:rFonts w:ascii="Calibri" w:eastAsia="Times New Roman" w:hAnsi="Calibri" w:cs="Arial"/>
          <w:bCs/>
          <w:color w:val="000000" w:themeColor="text1"/>
          <w:lang w:eastAsia="pt-BR"/>
        </w:rPr>
        <w:t xml:space="preserve">consonância </w:t>
      </w:r>
      <w:r w:rsidRPr="00FE2C7F">
        <w:rPr>
          <w:rFonts w:cs="Arial"/>
          <w:color w:val="000000"/>
        </w:rPr>
        <w:t xml:space="preserve">com o Edital </w:t>
      </w:r>
      <w:r>
        <w:rPr>
          <w:rFonts w:cs="Arial"/>
          <w:color w:val="000000"/>
        </w:rPr>
        <w:t>de C</w:t>
      </w:r>
      <w:r w:rsidR="00E32A53">
        <w:rPr>
          <w:rFonts w:cs="Arial"/>
          <w:color w:val="000000"/>
        </w:rPr>
        <w:t>adastramento</w:t>
      </w:r>
      <w:r>
        <w:rPr>
          <w:rFonts w:cs="Arial"/>
          <w:color w:val="000000"/>
        </w:rPr>
        <w:t xml:space="preserve"> de Soluções de Mercado, </w:t>
      </w:r>
      <w:r w:rsidRPr="00FE2C7F">
        <w:rPr>
          <w:rFonts w:cs="Arial"/>
          <w:color w:val="000000"/>
        </w:rPr>
        <w:t>n</w:t>
      </w:r>
      <w:r>
        <w:rPr>
          <w:rFonts w:cs="Arial"/>
          <w:color w:val="000000"/>
        </w:rPr>
        <w:t>.</w:t>
      </w:r>
      <w:r w:rsidRPr="00FE2C7F">
        <w:rPr>
          <w:rFonts w:cs="Arial"/>
          <w:color w:val="000000"/>
        </w:rPr>
        <w:t>º</w:t>
      </w:r>
      <w:r w:rsidR="00E32A53">
        <w:rPr>
          <w:rFonts w:cs="Arial"/>
          <w:color w:val="000000"/>
        </w:rPr>
        <w:t>01/2021</w:t>
      </w:r>
      <w:r w:rsidR="000B4C11">
        <w:rPr>
          <w:rFonts w:cs="Arial"/>
          <w:color w:val="000000"/>
        </w:rPr>
        <w:t xml:space="preserve">, item </w:t>
      </w:r>
      <w:r w:rsidR="00E32A53">
        <w:rPr>
          <w:noProof/>
          <w:lang w:eastAsia="pt-BR"/>
        </w:rPr>
        <w:drawing>
          <wp:inline distT="0" distB="0" distL="0" distR="0" wp14:anchorId="275686AF" wp14:editId="50DF518C">
            <wp:extent cx="5353050" cy="619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C11" w:rsidRPr="00E81A61" w:rsidRDefault="000B4C11" w:rsidP="000B4C11">
      <w:pPr>
        <w:pStyle w:val="sgc"/>
        <w:numPr>
          <w:ilvl w:val="0"/>
          <w:numId w:val="0"/>
        </w:numPr>
        <w:ind w:left="420" w:hanging="420"/>
        <w:rPr>
          <w:rFonts w:ascii="Calibri" w:hAnsi="Calibri"/>
          <w:lang w:val="pt-BR"/>
        </w:rPr>
      </w:pPr>
      <w:r w:rsidRPr="000B4C11">
        <w:rPr>
          <w:rFonts w:ascii="Calibri" w:hAnsi="Calibri"/>
          <w:lang w:val="pt-BR"/>
        </w:rPr>
        <w:t>Edital de C</w:t>
      </w:r>
      <w:r w:rsidR="00E32A53">
        <w:rPr>
          <w:rFonts w:ascii="Calibri" w:hAnsi="Calibri"/>
          <w:lang w:val="pt-BR"/>
        </w:rPr>
        <w:t>adastramento</w:t>
      </w:r>
      <w:r w:rsidR="001D3855">
        <w:rPr>
          <w:rFonts w:ascii="Calibri" w:hAnsi="Calibri"/>
          <w:lang w:val="pt-BR"/>
        </w:rPr>
        <w:t xml:space="preserve"> de Soluções de Mercado</w:t>
      </w:r>
      <w:r>
        <w:rPr>
          <w:rFonts w:ascii="Calibri" w:hAnsi="Calibri"/>
          <w:lang w:val="pt-BR"/>
        </w:rPr>
        <w:t xml:space="preserve"> n.º 02</w:t>
      </w:r>
      <w:r w:rsidRPr="000B4C11">
        <w:rPr>
          <w:rFonts w:ascii="Calibri" w:hAnsi="Calibri"/>
          <w:lang w:val="pt-BR"/>
        </w:rPr>
        <w:t>/2017</w:t>
      </w:r>
    </w:p>
    <w:p w:rsidR="00F407B1" w:rsidRDefault="00F407B1" w:rsidP="00F407B1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3712"/>
        <w:gridCol w:w="3686"/>
      </w:tblGrid>
      <w:tr w:rsidR="001658E8" w:rsidTr="003E3919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8" w:rsidRPr="00EE6280" w:rsidRDefault="001658E8" w:rsidP="001658E8">
            <w:pPr>
              <w:spacing w:line="276" w:lineRule="auto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Demanda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8E8" w:rsidRPr="00EE6280" w:rsidRDefault="001658E8" w:rsidP="001658E8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Foco/Ênfase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E8" w:rsidRPr="00EE6280" w:rsidRDefault="001658E8" w:rsidP="001658E8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Público-alvo</w:t>
            </w:r>
            <w:r>
              <w:rPr>
                <w:b/>
                <w:bCs/>
              </w:rPr>
              <w:t xml:space="preserve"> (*)</w:t>
            </w:r>
          </w:p>
        </w:tc>
      </w:tr>
      <w:tr w:rsidR="001658E8" w:rsidTr="003E3919"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Ecossistema Empreendedor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spacing w:after="0" w:line="240" w:lineRule="auto"/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Capacitação e/ou consultoria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Gestores de Educação, Professores e alunos do ensino superior</w:t>
            </w:r>
          </w:p>
        </w:tc>
      </w:tr>
      <w:tr w:rsidR="001658E8" w:rsidTr="003E3919"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Organizações Exponenciais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8E8" w:rsidRPr="001658E8" w:rsidRDefault="001658E8" w:rsidP="001658E8">
            <w:pPr>
              <w:spacing w:after="0" w:line="240" w:lineRule="auto"/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Capacitação e/ou consultoria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Micro e pequenas empresas</w:t>
            </w: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Acesso a crédito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9" w:hanging="284"/>
              <w:contextualSpacing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OKR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9" w:hanging="284"/>
              <w:contextualSpacing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Soluções de Design (identidade, divulgação, produto e internet)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pStyle w:val="PargrafodaLista"/>
              <w:numPr>
                <w:ilvl w:val="0"/>
                <w:numId w:val="1"/>
              </w:numPr>
              <w:spacing w:after="160" w:line="240" w:lineRule="auto"/>
              <w:ind w:left="459" w:hanging="284"/>
              <w:contextualSpacing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Cálculo tributário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pStyle w:val="PargrafodaLista"/>
              <w:spacing w:after="0" w:line="240" w:lineRule="auto"/>
              <w:ind w:left="459"/>
              <w:contextualSpacing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Viabilidade técnica econômica para agro industrias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8E8" w:rsidRPr="001658E8" w:rsidRDefault="001658E8" w:rsidP="001658E8">
            <w:pPr>
              <w:spacing w:after="0" w:line="240" w:lineRule="auto"/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Capacitação e/ou Consultoria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Pequenas propriedades rurais</w:t>
            </w: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Agregação de valor ao produto artesanal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Acesso a mercado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Associativismo e gestão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Acesso a crédito</w:t>
            </w:r>
          </w:p>
        </w:tc>
        <w:tc>
          <w:tcPr>
            <w:tcW w:w="371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spacing w:after="0" w:line="240" w:lineRule="auto"/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Capacitação e/ou consultoria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Cooperativas de Crédito</w:t>
            </w:r>
          </w:p>
        </w:tc>
      </w:tr>
      <w:tr w:rsidR="001658E8" w:rsidTr="003E3919"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Aceleração de negócios</w:t>
            </w:r>
          </w:p>
        </w:tc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spacing w:after="0" w:line="240" w:lineRule="auto"/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Capacitação e/ou consultoria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E8" w:rsidRPr="001658E8" w:rsidRDefault="001658E8" w:rsidP="001658E8">
            <w:pPr>
              <w:rPr>
                <w:sz w:val="20"/>
                <w:szCs w:val="20"/>
              </w:rPr>
            </w:pPr>
            <w:r w:rsidRPr="001658E8">
              <w:rPr>
                <w:sz w:val="20"/>
                <w:szCs w:val="20"/>
              </w:rPr>
              <w:t>Microempreendedor individual - MEI</w:t>
            </w:r>
          </w:p>
        </w:tc>
      </w:tr>
    </w:tbl>
    <w:p w:rsidR="001658E8" w:rsidRDefault="001658E8" w:rsidP="000B4C11">
      <w:pPr>
        <w:rPr>
          <w:rFonts w:ascii="Calibri" w:hAnsi="Calibri" w:cs="Arial"/>
          <w:bCs/>
          <w:i/>
          <w:color w:val="000000" w:themeColor="text1"/>
        </w:rPr>
      </w:pPr>
    </w:p>
    <w:p w:rsidR="000B4C11" w:rsidRPr="00E81A61" w:rsidRDefault="000B4C11" w:rsidP="000B4C11">
      <w:pPr>
        <w:pStyle w:val="sgc"/>
        <w:numPr>
          <w:ilvl w:val="0"/>
          <w:numId w:val="0"/>
        </w:numPr>
        <w:ind w:left="420" w:hanging="420"/>
        <w:rPr>
          <w:rFonts w:ascii="Calibri" w:hAnsi="Calibri"/>
          <w:lang w:val="pt-BR"/>
        </w:rPr>
      </w:pPr>
      <w:r w:rsidRPr="000B4C11">
        <w:rPr>
          <w:rFonts w:ascii="Calibri" w:hAnsi="Calibri"/>
          <w:lang w:val="pt-BR"/>
        </w:rPr>
        <w:t>Edital de C</w:t>
      </w:r>
      <w:r w:rsidR="00E32A53">
        <w:rPr>
          <w:rFonts w:ascii="Calibri" w:hAnsi="Calibri"/>
          <w:lang w:val="pt-BR"/>
        </w:rPr>
        <w:t>adastramento</w:t>
      </w:r>
      <w:r w:rsidR="001D3855">
        <w:rPr>
          <w:rFonts w:ascii="Calibri" w:hAnsi="Calibri"/>
          <w:lang w:val="pt-BR"/>
        </w:rPr>
        <w:t xml:space="preserve"> de Soluções de Mercado</w:t>
      </w:r>
      <w:r w:rsidRPr="000B4C11">
        <w:rPr>
          <w:rFonts w:ascii="Calibri" w:hAnsi="Calibri"/>
          <w:lang w:val="pt-BR"/>
        </w:rPr>
        <w:t xml:space="preserve"> n.º </w:t>
      </w:r>
      <w:r>
        <w:rPr>
          <w:rFonts w:ascii="Calibri" w:hAnsi="Calibri"/>
          <w:lang w:val="pt-BR"/>
        </w:rPr>
        <w:t>001/2019</w:t>
      </w:r>
    </w:p>
    <w:p w:rsidR="00F407B1" w:rsidRDefault="00F407B1" w:rsidP="00F407B1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</w:rPr>
      </w:pPr>
    </w:p>
    <w:tbl>
      <w:tblPr>
        <w:tblpPr w:leftFromText="141" w:rightFromText="141" w:bottomFromText="155" w:vertAnchor="text"/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4925"/>
        <w:gridCol w:w="2503"/>
      </w:tblGrid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1" w:rsidRPr="00EE6280" w:rsidRDefault="00F407B1" w:rsidP="00370A57">
            <w:pPr>
              <w:spacing w:line="276" w:lineRule="auto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Demanda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1" w:rsidRPr="00EE6280" w:rsidRDefault="00F407B1" w:rsidP="00370A57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Foco/Ênfase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7B1" w:rsidRPr="00EE6280" w:rsidRDefault="00F407B1" w:rsidP="00370A57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Público-alvo</w:t>
            </w:r>
            <w:r>
              <w:rPr>
                <w:b/>
                <w:bCs/>
              </w:rPr>
              <w:t xml:space="preserve"> (*)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Gestão de Empresas de Pequeno Porte – EPP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43603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Gestão de Pessoas, Gestão Financeira, Marketing Digital, Negócios Digitais, Planejamento Empresarial, Gestão da Qualidade e Produtividade; Internacionalização; Gestão de Marketing; Gestão de Vendas; Logística; Sucessão; Questões societárias; dentre outros temas relevantes para o aumento da competitividade destas empresas.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Empresas de Pequeno Porte – EPP, assim entendidas como aquelas empresas que, além do enquadramento legal pela sua faixa de faturamento, apresentam nível mais avançado de </w:t>
            </w: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maturidade de gestão, e necessitam de soluções diferenciadas que as levem ao próximo patamar de crescimento e desenvolvimento  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lastRenderedPageBreak/>
              <w:t>Modelos de negócios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Modelagem de negócios rurais; Canvas.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spacing w:line="276" w:lineRule="auto"/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 e Pequenas Empresas Rurais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EE6280" w:rsidRDefault="00F407B1" w:rsidP="00370A57">
            <w:pPr>
              <w:spacing w:line="276" w:lineRule="auto"/>
            </w:pPr>
            <w:r w:rsidRPr="00E32A53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Gestão e inovação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EE6280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Soluções inovadoras v</w:t>
            </w:r>
            <w:r w:rsidRPr="00EE6280">
              <w:rPr>
                <w:rFonts w:asciiTheme="minorHAnsi" w:hAnsiTheme="minorHAnsi" w:cs="Arial"/>
                <w:sz w:val="20"/>
                <w:szCs w:val="20"/>
              </w:rPr>
              <w:t xml:space="preserve">oltadas a advocacia ou a serviços advocatícios; </w:t>
            </w:r>
            <w:r>
              <w:rPr>
                <w:rFonts w:asciiTheme="minorHAnsi" w:hAnsiTheme="minorHAnsi" w:cs="Arial"/>
                <w:sz w:val="20"/>
                <w:szCs w:val="20"/>
              </w:rPr>
              <w:t>planejamento e</w:t>
            </w:r>
            <w:r w:rsidRPr="00EE6280">
              <w:rPr>
                <w:rFonts w:asciiTheme="minorHAnsi" w:hAnsiTheme="minorHAnsi" w:cs="Arial"/>
                <w:sz w:val="20"/>
                <w:szCs w:val="20"/>
              </w:rPr>
              <w:t>mpresarial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  <w:r w:rsidRPr="00EE628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melhoria de processos; gestão de pessoas; g</w:t>
            </w:r>
            <w:r w:rsidRPr="00EE6280">
              <w:rPr>
                <w:rFonts w:asciiTheme="minorHAnsi" w:hAnsiTheme="minorHAnsi" w:cs="Arial"/>
                <w:sz w:val="20"/>
                <w:szCs w:val="20"/>
              </w:rPr>
              <w:t xml:space="preserve">estão </w:t>
            </w:r>
            <w:r>
              <w:rPr>
                <w:rFonts w:asciiTheme="minorHAnsi" w:hAnsiTheme="minorHAnsi" w:cs="Arial"/>
                <w:sz w:val="20"/>
                <w:szCs w:val="20"/>
              </w:rPr>
              <w:t>f</w:t>
            </w:r>
            <w:r w:rsidRPr="00EE6280">
              <w:rPr>
                <w:rFonts w:asciiTheme="minorHAnsi" w:hAnsiTheme="minorHAnsi" w:cs="Arial"/>
                <w:sz w:val="20"/>
                <w:szCs w:val="20"/>
              </w:rPr>
              <w:t>inanceira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  <w:r w:rsidRPr="00EE6280">
              <w:rPr>
                <w:rFonts w:asciiTheme="minorHAnsi" w:hAnsiTheme="minorHAnsi" w:cs="Arial"/>
                <w:sz w:val="20"/>
                <w:szCs w:val="20"/>
              </w:rPr>
              <w:t xml:space="preserve"> Marketing Jurídico.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EE6280" w:rsidRDefault="00F407B1" w:rsidP="00370A57">
            <w:pPr>
              <w:spacing w:line="276" w:lineRule="auto"/>
              <w:ind w:left="-108"/>
            </w:pPr>
            <w:r w:rsidRPr="00EE6280">
              <w:rPr>
                <w:rFonts w:cs="Arial"/>
              </w:rPr>
              <w:t>Escritórios de advocacia e advogados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Empreendedorismo e inovação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Desenvolvimento econômico e social; inovação; metodologias ativas de aprendizagem; capacitações de formação pedagógicas e vivenciais que promovam o desenvolvimento de comportamentos, habilidades e atitudes empreendedoras.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spacing w:line="276" w:lineRule="auto"/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Instituições de ensino, estudantes universitários, professores universitários, gestores de educação, e prefeituras municipais.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Design de Serviços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Aplicação de soluções de design de serviços em pequenos negócios, buscando inovação na atuação dos mesmos. No mínimo, a solução de design de serviços deve contemplar:</w:t>
            </w:r>
          </w:p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Mapa de valores; Jornada do usuário; Objetivos de negócio, necessidades do usuário e pontos de contato; Mapa emocional; Arco dramático; Ferramentas e métodos de investigação; Frame para definir insights; Ideação; Priorização de ideias; Storytelling; Técnicas e ferramentas para prototipagem; Service blueprint; Design thinking; Frozen stories/ investigative rehearsal.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spacing w:line="276" w:lineRule="auto"/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 e empresas de pequeno porte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Marketing de Lugares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Elaborar diagnósticos, estratégias e planejamentos para construir, posicionar, reposicionar e promover a imagem de territórios turísticos. Utilização do composto mercadológico aplicado a lugares. Uso de ferramentas de marketing aplicadas a lugares.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spacing w:line="276" w:lineRule="auto"/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Microempresas, empresas de pequeno porte e entidades públicas e privadas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Aceleração Criativa de Territórios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AE3263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 xml:space="preserve">Diagnosticar, planejar e elaborar estratégias para fomentar a economia criativa de territórios, e a formação de redes de negócios criativos. Desenvolver plano de aceleração criativa de territórios, com base nos recursos e ativos naturais e culturais, estimulando a diversificação da matriz econômica local e o surgimento de empreendimentos criativos. Consultorias e </w:t>
            </w:r>
            <w:r w:rsidR="00AE3263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workshops</w:t>
            </w: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 xml:space="preserve"> de sensibilização e planejamento participativo local.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Microempresas, empresas de pequeno porte e entidades públicas e privadas</w:t>
            </w:r>
          </w:p>
          <w:p w:rsidR="00F407B1" w:rsidRPr="001658E8" w:rsidRDefault="00F407B1" w:rsidP="00370A57">
            <w:pPr>
              <w:spacing w:line="276" w:lineRule="auto"/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Negócios Digitais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Elaboração de estratégia de acesso à ambiente web (websites, e-commerce, hotsites, blogs) e ao comércio eletrônico; metodologias e ferramentas de apoio na convergência digital.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 e empresas de pequeno porte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Missão Técnica orientada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Potencialização de resultados da participação em feiras, eventos e em missões empresariais de estudo, interpretação, adaptação e implementação de estratégias vivenciadas.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 e empresas de pequeno porte do varejo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Estratégias de comunicação integradas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 xml:space="preserve">Integração do ambiente offline (loja física, mix de produtos, gestão de pessoas, experiência na loja) e online (criação de estratégias de comunicação integradas, </w:t>
            </w: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construção de conteúdo textual e visual para redes sociais e e-commerce) de operações varejistas através da apresentação de conceitos e estratégias práticas e eficazes com aplicabilidade e consequente melhoria nos resultados do negócio.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lastRenderedPageBreak/>
              <w:t>Microempresas e empresas de pequeno porte do varejo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CoolHunting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Técnicas e ferramentas para captação de tendências.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Micro e pequenas empresas </w:t>
            </w:r>
          </w:p>
        </w:tc>
      </w:tr>
      <w:tr w:rsidR="00F407B1" w:rsidRPr="009B7481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Design de Conteúdo (Brand Content)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Autoridade e valorização da marca; estratégia de conteúdo; reputação e propriedade da marca; personalidade e bandeiras da marca.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 e empresas de pequeno porte do Varejo</w:t>
            </w:r>
          </w:p>
        </w:tc>
      </w:tr>
      <w:tr w:rsidR="00F407B1" w:rsidRPr="00436038" w:rsidTr="00370A57">
        <w:trPr>
          <w:trHeight w:val="186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Marketing Digital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953324">
            <w:pPr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Estratégias online; reputação online; ampliação da presença digital; estruturação e aprimoramento dos processos de marketing e vendas; mídias digitais; redes sociais; conceito e estratégias de marketing digital; planejamento de marketing digital; diagnóstico de reposicionamento digital.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Empreendedores, Microempreendedor Individual, micro e pequenas empresas de todos os segmentos e também ligados à economia criativa e artesanato.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Posicionamento de Marca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Fortalecimento da marca nos aspectos relacionados a autoridade e experiência; percepção e valor da marca.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 e empresas de pequeno porte</w:t>
            </w:r>
          </w:p>
        </w:tc>
      </w:tr>
      <w:tr w:rsidR="00F407B1" w:rsidRPr="00436038" w:rsidTr="00370A57">
        <w:trPr>
          <w:trHeight w:val="23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Gestão de alimentação escolar (merenda) e institucional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436038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3603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Integração entre instituição públicas e empresas fornecedoras; agricultura familiar; elaboração de cardápios, aquisição de alimentos, preparo de alimentos, gestão de resíduos d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 xml:space="preserve">e </w:t>
            </w:r>
            <w:r w:rsidRPr="0043603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refeitórios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Empresários rurais, Microempresas, empresas de pequeno porte fornecedoras e Prefeituras municipais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1658E8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Conceitos de design </w:t>
            </w:r>
            <w:proofErr w:type="spellStart"/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thinking</w:t>
            </w:r>
            <w:proofErr w:type="spellEnd"/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, metodologias ágeis para ideação de negócios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ED42E4" w:rsidRDefault="00F407B1" w:rsidP="001658E8">
            <w:pPr>
              <w:pStyle w:val="PargrafodaLista"/>
              <w:spacing w:after="160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Negócios inovadores (maker spaces e creative spaces), gestão de negócios, ideação de negócio, incubação de empresas, design thinking, metodologias ágeis, trabalho colaborativo.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1658E8">
            <w:pPr>
              <w:spacing w:line="276" w:lineRule="auto"/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Microempresas, empresas de pequeno porte e entidades públicas e privadas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Gestão de </w:t>
            </w:r>
            <w:proofErr w:type="spellStart"/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Collabs</w:t>
            </w:r>
            <w:proofErr w:type="spellEnd"/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Estratégias de vendas e desenvolvimento de produtos em colaboração com marcas afins.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Candidatos a empresários, Microempreendedor individual, microempresas e empresas de pequeno porte.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Gestão de Negócios de Artesanato, Técnicas de Gestão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74F8F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Ferramentas e técnicas de gestão e controles gerenciais para negócios de artesanato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Candidatos a </w:t>
            </w:r>
            <w:r w:rsidR="001D3855"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empresários, Microempreendedor</w:t>
            </w: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 individual e microempresas.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Gestão comercial e Políticas de vendas, Formação de preço de venda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674F8F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74F8F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Gestão comercial e Políticas de vendas, Formação de preço de venda para o artesanato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Candidatos a empresários, Microempreendedor individual e microempresas.</w:t>
            </w:r>
          </w:p>
        </w:tc>
      </w:tr>
      <w:tr w:rsidR="00F407B1" w:rsidRPr="00436038" w:rsidTr="00370A57">
        <w:trPr>
          <w:trHeight w:val="2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B1" w:rsidRPr="001658E8" w:rsidRDefault="00F407B1" w:rsidP="00370A57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Gestão de Marca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674F8F" w:rsidRDefault="00F407B1" w:rsidP="00370A57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74F8F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Imagem Pessoal, Posicionamento e Imagem do Artesão como Marca; Gestão de Imagem.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B1" w:rsidRPr="001658E8" w:rsidRDefault="00F407B1" w:rsidP="00370A57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1658E8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Candidatos a empresários, microempreendedor individual e microempresas.</w:t>
            </w:r>
          </w:p>
        </w:tc>
      </w:tr>
    </w:tbl>
    <w:p w:rsidR="001D3855" w:rsidRDefault="001D3855" w:rsidP="000B4C11">
      <w:pPr>
        <w:rPr>
          <w:rFonts w:ascii="Calibri" w:hAnsi="Calibri" w:cs="Arial"/>
          <w:bCs/>
          <w:i/>
          <w:color w:val="000000" w:themeColor="text1"/>
        </w:rPr>
      </w:pPr>
    </w:p>
    <w:p w:rsidR="00F407B1" w:rsidRPr="00AE3263" w:rsidRDefault="000B4C11" w:rsidP="00AE3263">
      <w:pPr>
        <w:pStyle w:val="sgc"/>
        <w:numPr>
          <w:ilvl w:val="0"/>
          <w:numId w:val="0"/>
        </w:numPr>
        <w:ind w:left="420" w:hanging="420"/>
        <w:rPr>
          <w:rFonts w:ascii="Calibri" w:hAnsi="Calibri"/>
          <w:lang w:val="pt-BR"/>
        </w:rPr>
      </w:pPr>
      <w:r w:rsidRPr="000B4C11">
        <w:rPr>
          <w:rFonts w:ascii="Calibri" w:hAnsi="Calibri"/>
          <w:lang w:val="pt-BR"/>
        </w:rPr>
        <w:t xml:space="preserve">Edital de </w:t>
      </w:r>
      <w:r w:rsidR="00E32A53" w:rsidRPr="000B4C11">
        <w:rPr>
          <w:rFonts w:ascii="Calibri" w:hAnsi="Calibri"/>
          <w:lang w:val="pt-BR"/>
        </w:rPr>
        <w:t>C</w:t>
      </w:r>
      <w:r w:rsidR="00E32A53">
        <w:rPr>
          <w:rFonts w:ascii="Calibri" w:hAnsi="Calibri"/>
          <w:lang w:val="pt-BR"/>
        </w:rPr>
        <w:t>adastramento</w:t>
      </w:r>
      <w:r w:rsidR="001D3855">
        <w:rPr>
          <w:rFonts w:ascii="Calibri" w:hAnsi="Calibri"/>
          <w:lang w:val="pt-BR"/>
        </w:rPr>
        <w:t xml:space="preserve"> de Soluções de Mercado</w:t>
      </w:r>
      <w:r w:rsidRPr="000B4C11">
        <w:rPr>
          <w:rFonts w:ascii="Calibri" w:hAnsi="Calibri"/>
          <w:lang w:val="pt-BR"/>
        </w:rPr>
        <w:t xml:space="preserve"> n.º 0</w:t>
      </w:r>
      <w:r>
        <w:rPr>
          <w:rFonts w:ascii="Calibri" w:hAnsi="Calibri"/>
          <w:lang w:val="pt-BR"/>
        </w:rPr>
        <w:t>04</w:t>
      </w:r>
      <w:r w:rsidRPr="000B4C11">
        <w:rPr>
          <w:rFonts w:ascii="Calibri" w:hAnsi="Calibri"/>
          <w:lang w:val="pt-BR"/>
        </w:rPr>
        <w:t>/201</w:t>
      </w:r>
      <w:r>
        <w:rPr>
          <w:rFonts w:ascii="Calibri" w:hAnsi="Calibri"/>
          <w:lang w:val="pt-BR"/>
        </w:rPr>
        <w:t>9</w:t>
      </w:r>
    </w:p>
    <w:tbl>
      <w:tblPr>
        <w:tblpPr w:leftFromText="141" w:rightFromText="141" w:bottomFromText="155" w:vertAnchor="text" w:horzAnchor="margin" w:tblpXSpec="center" w:tblpY="1"/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185"/>
        <w:gridCol w:w="2503"/>
      </w:tblGrid>
      <w:tr w:rsidR="00C35BA6" w:rsidRPr="009B7481" w:rsidTr="00C35BA6">
        <w:trPr>
          <w:trHeight w:val="25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BA6" w:rsidRPr="00EE6280" w:rsidRDefault="00C35BA6" w:rsidP="00C35BA6">
            <w:pPr>
              <w:spacing w:line="276" w:lineRule="auto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Demanda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BA6" w:rsidRPr="00EE6280" w:rsidRDefault="00C35BA6" w:rsidP="00C35BA6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Foco/Ênfase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BA6" w:rsidRPr="00EE6280" w:rsidRDefault="00C35BA6" w:rsidP="00C35BA6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EE6280">
              <w:rPr>
                <w:b/>
                <w:bCs/>
              </w:rPr>
              <w:t>Público-alvo</w:t>
            </w:r>
            <w:r>
              <w:rPr>
                <w:b/>
                <w:bCs/>
              </w:rPr>
              <w:t xml:space="preserve"> (*)</w:t>
            </w:r>
          </w:p>
        </w:tc>
      </w:tr>
      <w:tr w:rsidR="00C35BA6" w:rsidRPr="00436038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6" w:rsidRPr="006C31A6" w:rsidRDefault="00C35BA6" w:rsidP="00C35BA6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lastRenderedPageBreak/>
              <w:t>Comportamento empreendedor; Mercado; Fontes de investimentos; Conexão com investidores.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Desenvolvimento, aceleração de startups e busca de investimentos e investidores.</w:t>
            </w:r>
          </w:p>
          <w:p w:rsidR="00C35BA6" w:rsidRPr="006C31A6" w:rsidRDefault="00C35BA6" w:rsidP="00C35BA6">
            <w:pPr>
              <w:pStyle w:val="PargrafodaLista"/>
              <w:spacing w:after="0" w:line="240" w:lineRule="auto"/>
              <w:ind w:left="-108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Desenvolvimento de ecossistema de inovação.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ind w:left="-108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Startups, Empreendedores e entidades que compõem o Ecossistema de Inovação</w:t>
            </w:r>
          </w:p>
        </w:tc>
      </w:tr>
      <w:tr w:rsidR="00C35BA6" w:rsidRPr="00436038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6" w:rsidRPr="006C31A6" w:rsidRDefault="00C35BA6" w:rsidP="00C35BA6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Concepção e implantação de ambientes e laboratórios de inovação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pStyle w:val="PargrafodaLista"/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Gestão de laboratórios de inovação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ind w:left="-108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Entidades públicas e privadas</w:t>
            </w:r>
          </w:p>
        </w:tc>
      </w:tr>
      <w:tr w:rsidR="00C35BA6" w:rsidRPr="00436038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6" w:rsidRPr="006C31A6" w:rsidRDefault="00C35BA6" w:rsidP="00C35BA6">
            <w:pPr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Inovação na educação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pStyle w:val="PargrafodaLista"/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pt-BR"/>
              </w:rPr>
              <w:t>Formação para alunos de ensino médio e superior com foco em escolas públicas e formação docente relacionada a educação por meio de Metodologias ágeis de aprendizagem; Formação pedagógica e vivencial; Jogos de empreendedorismo para alunos e outras práticas relacionadas à inovação na Educação.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Instituições de Ensino, alunos, professores e gestores de educação</w:t>
            </w:r>
          </w:p>
        </w:tc>
      </w:tr>
      <w:tr w:rsidR="00C35BA6" w:rsidRPr="00436038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6" w:rsidRPr="006C31A6" w:rsidRDefault="00C35BA6" w:rsidP="00C35BA6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Empreendedorismo, gestão e inovação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Soluções e ferramentas de empreendedorismo, gestão e inovação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ind w:left="-108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Escritórios de Advocacia</w:t>
            </w:r>
          </w:p>
        </w:tc>
      </w:tr>
      <w:tr w:rsidR="00C35BA6" w:rsidRPr="00436038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6" w:rsidRPr="006C31A6" w:rsidRDefault="00C35BA6" w:rsidP="00C35BA6">
            <w:pPr>
              <w:spacing w:line="276" w:lineRule="auto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Soluções jurídicas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 xml:space="preserve">Direito Digital; </w:t>
            </w:r>
            <w:proofErr w:type="spellStart"/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Compliance</w:t>
            </w:r>
            <w:proofErr w:type="spellEnd"/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; Lei geral de Proteção de dados.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BA6" w:rsidRPr="006C31A6" w:rsidRDefault="00C35BA6" w:rsidP="00C35BA6">
            <w:pPr>
              <w:ind w:left="-108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6C31A6">
              <w:rPr>
                <w:rFonts w:eastAsia="Calibri" w:cs="Times New Roman"/>
                <w:bCs/>
                <w:color w:val="000000"/>
                <w:sz w:val="20"/>
                <w:szCs w:val="20"/>
                <w:lang w:eastAsia="pt-BR"/>
              </w:rPr>
              <w:t>Startups, ME e EPP</w:t>
            </w:r>
          </w:p>
        </w:tc>
      </w:tr>
    </w:tbl>
    <w:p w:rsidR="00F407B1" w:rsidRDefault="00F407B1" w:rsidP="00F407B1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</w:rPr>
      </w:pPr>
    </w:p>
    <w:p w:rsidR="00F407B1" w:rsidRDefault="00F407B1" w:rsidP="00F407B1">
      <w:pPr>
        <w:rPr>
          <w:rFonts w:cs="Arial"/>
          <w:color w:val="000000"/>
        </w:rPr>
      </w:pPr>
      <w:r w:rsidRPr="00C5727F">
        <w:t>  </w:t>
      </w:r>
      <w:r>
        <w:rPr>
          <w:rFonts w:cs="Arial"/>
          <w:color w:val="000000"/>
        </w:rPr>
        <w:t xml:space="preserve"> </w:t>
      </w:r>
    </w:p>
    <w:p w:rsidR="00D85284" w:rsidRPr="00AE3263" w:rsidRDefault="00D85284" w:rsidP="00AE3263">
      <w:pPr>
        <w:pStyle w:val="sgc"/>
        <w:numPr>
          <w:ilvl w:val="0"/>
          <w:numId w:val="0"/>
        </w:numPr>
        <w:ind w:left="420" w:hanging="420"/>
        <w:rPr>
          <w:rFonts w:ascii="Calibri" w:hAnsi="Calibri"/>
          <w:lang w:val="pt-BR"/>
        </w:rPr>
      </w:pPr>
      <w:r w:rsidRPr="000B4C11">
        <w:rPr>
          <w:rFonts w:ascii="Calibri" w:hAnsi="Calibri"/>
          <w:lang w:val="pt-BR"/>
        </w:rPr>
        <w:t xml:space="preserve">Edital de </w:t>
      </w:r>
      <w:r w:rsidR="00E32A53" w:rsidRPr="000B4C11">
        <w:rPr>
          <w:rFonts w:ascii="Calibri" w:hAnsi="Calibri"/>
          <w:lang w:val="pt-BR"/>
        </w:rPr>
        <w:t>C</w:t>
      </w:r>
      <w:r w:rsidR="00E32A53">
        <w:rPr>
          <w:rFonts w:ascii="Calibri" w:hAnsi="Calibri"/>
          <w:lang w:val="pt-BR"/>
        </w:rPr>
        <w:t>adastramento</w:t>
      </w:r>
      <w:r>
        <w:rPr>
          <w:rFonts w:ascii="Calibri" w:hAnsi="Calibri"/>
          <w:lang w:val="pt-BR"/>
        </w:rPr>
        <w:t xml:space="preserve"> de Soluções de Mercado</w:t>
      </w:r>
      <w:r w:rsidRPr="000B4C11">
        <w:rPr>
          <w:rFonts w:ascii="Calibri" w:hAnsi="Calibri"/>
          <w:lang w:val="pt-BR"/>
        </w:rPr>
        <w:t xml:space="preserve"> n.º </w:t>
      </w:r>
      <w:r>
        <w:rPr>
          <w:rFonts w:ascii="Calibri" w:hAnsi="Calibri"/>
          <w:lang w:val="pt-BR"/>
        </w:rPr>
        <w:t>02/2020</w:t>
      </w:r>
      <w:r w:rsidR="00A0512B">
        <w:rPr>
          <w:rFonts w:ascii="Calibri" w:hAnsi="Calibri"/>
          <w:lang w:val="pt-BR"/>
        </w:rPr>
        <w:t xml:space="preserve"> – Comunicado 01</w:t>
      </w:r>
    </w:p>
    <w:p w:rsidR="00D85284" w:rsidRPr="00E74346" w:rsidRDefault="00D85284" w:rsidP="00D85284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</w:p>
    <w:tbl>
      <w:tblPr>
        <w:tblpPr w:leftFromText="141" w:rightFromText="141" w:bottomFromText="155" w:vertAnchor="text" w:tblpXSpec="center"/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185"/>
        <w:gridCol w:w="2503"/>
      </w:tblGrid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84" w:rsidRPr="00E74346" w:rsidRDefault="00D85284" w:rsidP="00C35BA6">
            <w:pPr>
              <w:spacing w:line="276" w:lineRule="auto"/>
              <w:ind w:left="-118"/>
              <w:jc w:val="center"/>
              <w:rPr>
                <w:rFonts w:cstheme="minorHAnsi"/>
                <w:b/>
                <w:bCs/>
              </w:rPr>
            </w:pPr>
            <w:r w:rsidRPr="00E74346">
              <w:rPr>
                <w:rFonts w:cstheme="minorHAnsi"/>
                <w:b/>
                <w:bCs/>
              </w:rPr>
              <w:t>Demanda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84" w:rsidRPr="00E74346" w:rsidRDefault="00D85284" w:rsidP="00370A57">
            <w:pPr>
              <w:spacing w:line="276" w:lineRule="auto"/>
              <w:ind w:left="-108"/>
              <w:jc w:val="center"/>
              <w:rPr>
                <w:rFonts w:cstheme="minorHAnsi"/>
                <w:b/>
                <w:bCs/>
              </w:rPr>
            </w:pPr>
            <w:r w:rsidRPr="00E74346">
              <w:rPr>
                <w:rFonts w:cstheme="minorHAnsi"/>
                <w:b/>
                <w:bCs/>
              </w:rPr>
              <w:t>Foco/Ênfase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84" w:rsidRPr="00E74346" w:rsidRDefault="00D85284" w:rsidP="00370A57">
            <w:pPr>
              <w:spacing w:line="276" w:lineRule="auto"/>
              <w:ind w:left="-108"/>
              <w:jc w:val="center"/>
              <w:rPr>
                <w:rFonts w:cstheme="minorHAnsi"/>
                <w:b/>
                <w:bCs/>
              </w:rPr>
            </w:pPr>
            <w:r w:rsidRPr="00E74346">
              <w:rPr>
                <w:rFonts w:cstheme="minorHAnsi"/>
                <w:b/>
                <w:bCs/>
              </w:rPr>
              <w:t>Público-alvo (*)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Programas de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Compliance</w:t>
            </w:r>
            <w:proofErr w:type="spellEnd"/>
          </w:p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E74346">
              <w:rPr>
                <w:rFonts w:cstheme="minorHAnsi"/>
                <w:sz w:val="20"/>
                <w:szCs w:val="20"/>
              </w:rPr>
              <w:t>Implantação de programa em conformidade com a lei, sobretudo em questões contábeis, jurídicas, financeiras, ambientais, de segurança e trabalhistas, entre outras, também para a obtenção de crédito e para a exportação e importação de produtos.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spacing w:line="276" w:lineRule="auto"/>
              <w:ind w:left="-108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E74346">
              <w:rPr>
                <w:rFonts w:cstheme="minorHAnsi"/>
                <w:sz w:val="20"/>
                <w:szCs w:val="20"/>
              </w:rPr>
              <w:t>Micro e Pequenas Empresas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Gestão da Inovação e transformação digital.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Soluções e ferramentas para gestão da inovação e transformação digital.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Escritórios de Advocacia e Administração Pública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Planejamento empresarial e Gestão de Marketing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Soluções e ferramentas de planejamento empresarial e gestão de marketing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Escritórios de advocacia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Orientação de startups para atendimento dos gargalos tecnológicos e de mercado de médias e grandes empresas.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Soluções que contemplem desde a definição dos desafios das grandes empresas, o acompanhamento e monitoramento </w:t>
            </w: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das startups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>, do aprimoramento tecnológico das startups, da capacitação para apresentação comercial das soluções de startups para médias e grandes empresas até a capacitação em alternativas de captação de recursos para startups, etc.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Startups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Orientação de startups para Fundos de investimento de risco e suas teses.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pStyle w:val="PargrafodaLista"/>
              <w:spacing w:after="0" w:line="240" w:lineRule="auto"/>
              <w:ind w:left="-108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</w:pPr>
            <w:r w:rsidRPr="00E74346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Soluções para capacitar e orientar Startups sobre alternativas de capitalização via capital empreendedor, promover a aproximação com investidores, fundos de investimento e mecanismos legais. Mentorias nas áreas de negócios e comportamental.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Startups </w:t>
            </w:r>
          </w:p>
        </w:tc>
      </w:tr>
      <w:tr w:rsidR="00D85284" w:rsidRPr="00E74346" w:rsidTr="00C35BA6">
        <w:trPr>
          <w:trHeight w:val="122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Constituição e operação d</w:t>
            </w:r>
            <w:r w:rsidR="00370A57" w:rsidRPr="00E74346">
              <w:rPr>
                <w:rFonts w:cstheme="minorHAnsi"/>
                <w:bCs/>
                <w:sz w:val="20"/>
                <w:szCs w:val="20"/>
              </w:rPr>
              <w:t>e Empresa Simples de Crédito-ESC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Workshops e consultorias sobre o passo a passo para constituição da ESC e para operação da ESC (Análise do risco de crédito, gestão da carteira de clientes e inadimplência, gestão da cobrança, antecipação de recebíveis, outros).</w:t>
            </w:r>
          </w:p>
          <w:p w:rsidR="00D85284" w:rsidRPr="00E74346" w:rsidRDefault="00D85284" w:rsidP="00370A57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Tecnologias para análise de risco de crédito e gestão da Empresa Simples de Crédito.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Potenciais empresários e Empresas Simples de Crédito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Implementação de indicadores na empresa para otimizar as vendas.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Soluções ágeis com alto impacto na empresa; soluções focadas em gestão, principalmente em processos de vendas atrelados ao marketing digital.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EPP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Implementação de indicadores na empresa para otimizar as vendas.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Soluções ágeis com alto impacto na empresa; soluções focadas em gestão, principalmente em gestão de indicadores.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EPP </w:t>
            </w:r>
          </w:p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46" w:rsidRPr="00E74346" w:rsidRDefault="00D85284" w:rsidP="00E743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Neuroven</w:t>
            </w:r>
            <w:r w:rsidR="00E74346" w:rsidRPr="00E74346">
              <w:rPr>
                <w:rFonts w:cstheme="minorHAnsi"/>
                <w:bCs/>
                <w:sz w:val="20"/>
                <w:szCs w:val="20"/>
              </w:rPr>
              <w:t>das</w:t>
            </w:r>
            <w:proofErr w:type="spellEnd"/>
            <w:r w:rsidR="00E74346" w:rsidRPr="00E74346">
              <w:rPr>
                <w:rFonts w:cstheme="minorHAnsi"/>
                <w:bCs/>
                <w:sz w:val="20"/>
                <w:szCs w:val="20"/>
              </w:rPr>
              <w:t>, inteligência emocional, PNL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Soluções em formato de curso, workshop abordando técnicas pertinentes aos temas.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MEI, ME, EPP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Capacitação de professores no uso de metodologias ativas no processo de aprendizagem.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As soluções devem proporcionar ao aluno a habilidade de pensar de maneira diferente e resolver problemas conectando ideias que, em princípio, parecem desconectadas. Podem incluir workshops visando à preparação de professores para o uso de metodologias ativas em suas salas de aula e devem abordar diferentes metodologias ativas, como por exemplo:</w:t>
            </w:r>
          </w:p>
          <w:p w:rsidR="00D85284" w:rsidRPr="00E74346" w:rsidRDefault="00D85284" w:rsidP="00D8528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Aprendizagem baseada em problemas</w:t>
            </w:r>
          </w:p>
          <w:p w:rsidR="00D85284" w:rsidRPr="00E74346" w:rsidRDefault="00D85284" w:rsidP="00D8528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Aprendizagem baseada em projetos</w:t>
            </w:r>
          </w:p>
          <w:p w:rsidR="00D85284" w:rsidRPr="00E74346" w:rsidRDefault="00D85284" w:rsidP="00D8528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Aprendizagem entre times</w:t>
            </w:r>
          </w:p>
          <w:p w:rsidR="00D85284" w:rsidRPr="00E74346" w:rsidRDefault="00D85284" w:rsidP="00D8528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Classe de aula invertida</w:t>
            </w:r>
          </w:p>
          <w:p w:rsidR="00D85284" w:rsidRPr="00E74346" w:rsidRDefault="00D85284" w:rsidP="00D8528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Fish</w:t>
            </w:r>
            <w:proofErr w:type="spellEnd"/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Bowl (método do aquário)</w:t>
            </w:r>
          </w:p>
          <w:p w:rsidR="00D85284" w:rsidRPr="00E74346" w:rsidRDefault="00D85284" w:rsidP="00D8528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Gamificação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Instituições de Ensino de diferentes níveis (Educação Básica, Educação Profissionalizante, Educação Superior e Educação de Jovens e Adultos)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Empreendedorismo alinhado à Educação 4.0 utilizando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gamificação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As soluções propostas neste tema devem trabalhar em forma de jogos (games) o tema do empreendedorismo e dos comportamentos empreendedores para alunos, visando ao exercício desses comportamentos em jogos competitivos ou colaborativos.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Instituições de Ensino de diferentes níveis (Educação Básica, Educação Profissionalizante, Educação Superior e Educação de Jovens e Adultos)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Disseminação da Educação 4.0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As soluções propostas devem objetivar a disseminação do conhecimento do tema, bem como o desenvolvimento das novas competências necessárias aos profissionais envolvidos com a educação. Deve abordar os pilares da Educação 4.0, tais como:</w:t>
            </w:r>
          </w:p>
          <w:p w:rsidR="00D85284" w:rsidRPr="00E74346" w:rsidRDefault="00D85284" w:rsidP="00D8528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a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conectividade dos sistemas e facilidade de acesso ao conhecimento;</w:t>
            </w:r>
          </w:p>
          <w:p w:rsidR="00D85284" w:rsidRPr="00E74346" w:rsidRDefault="00D85284" w:rsidP="00D8528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a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inteligência artificial, automação e sistemas robotizados;</w:t>
            </w:r>
          </w:p>
          <w:p w:rsidR="00D85284" w:rsidRPr="00E74346" w:rsidRDefault="00D85284" w:rsidP="00D8528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as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novas mídias e Big Data (análise e interpretação de grandes volumes de dados);</w:t>
            </w:r>
          </w:p>
          <w:p w:rsidR="00D85284" w:rsidRPr="00E74346" w:rsidRDefault="00D85284" w:rsidP="00D8528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a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velocidade da inovação;</w:t>
            </w:r>
          </w:p>
          <w:p w:rsidR="00D85284" w:rsidRPr="00E74346" w:rsidRDefault="00D85284" w:rsidP="00D85284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o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desenvolvimento de novas habilidades e conhecimentos constantes.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 xml:space="preserve">Pessoas e empresas envolvidas na educação (alunos, professores, consultores, gestores de </w:t>
            </w: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instituições de ensino, entre outros.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Melhoria da performance em vendas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Capacitações que abordem planejamento estratégico de vendas, levando em consideração o treinamento da equipe, análise do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mix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de produtos e de mercado, entre outros pontos relevantes para uma melhor performance de vendas.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Estabelecimentos comerciais que fazem comercialização de produtos ou serviços para cliente final, independente do porte MEI, ME, EPP.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Técnicas de Vendas e Atendimento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Soluções focadas em apresentar técnicas efetivas para fechamento de vendas e excelência no atendimento, de forma a fidelizar e encantar os clientes com seus produtos e/ou serviços.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Estabelecimentos comerciais que fazem comercialização de produtos ou serviços para cliente final, independente do porte MEI, ME, EPP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Humanização no atendimento para clínicas e hospitais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As capacitações devem contemplar temas pertinentes ao cotidiano de estabelecimentos de saúde, como por exemplo a relação entre profissionais e familiares, cooperação, gerenciamento de conflitos e emoções, entre outros.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Clínicas e Hospitais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Neurocomunicação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A capacitação deve abordar conceitos da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neurocomunicação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a fim de compreender as correlações do comportamento cerebral da fala, da linguagem e da função auditiva. Com isso, pretende-se aumentar a compreensão de que as emoções influenciam na maneira de se comunicar e de entender.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Empreendedores, funcionários e gestores de empresas MEI, ME, EPP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Marketing e atendimento para consultório médico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pStyle w:val="PargrafodaLista"/>
              <w:widowControl w:val="0"/>
              <w:tabs>
                <w:tab w:val="left" w:pos="142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Orientar médicos e pessoas ligadas ao setor da saúde que desejam desenvolver o trabalho no consultório ampliando horizontes e que pretendam exercer a abordagem empresarial, comercial e empreendedora. A capacitação deve contemplar </w:t>
            </w:r>
            <w:r w:rsidRPr="00E74346">
              <w:rPr>
                <w:rFonts w:asciiTheme="minorHAnsi" w:hAnsiTheme="minorHAnsi" w:cstheme="minorHAnsi"/>
                <w:bCs/>
                <w:sz w:val="20"/>
                <w:szCs w:val="20"/>
              </w:rPr>
              <w:t>conceitos básicos do marketing e seus respectivos processos, aplicado em consultórios médicos e em sistemas de saúde, analisando suas oportunidades e ameaças.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Clínicas e consultórios médicos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Plano de Ação para aperfeiçoamento das estratégias e do nível de internacionalização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Matriz de serviço para aperfeiçoamento das empresas visando melhoria nas práticas de internacionalização.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Empresários, Pequenos, Médios e Grandes Negócios, Industria,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StartUps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Comércio e Serviços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Realizar avaliação para compreensão do Nível de Maturidade de Internacionalização da empresa.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Realização de diagnóstico prático e eficiente para compreensão e graduação do nível de internacionalização das empresas.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Empresários, Pequenos, Médios e Grandes Negócios, Industria,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StartUps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Comércio e Serviços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Construção Civil</w:t>
            </w:r>
          </w:p>
          <w:p w:rsidR="00D85284" w:rsidRPr="00E74346" w:rsidRDefault="00D85284" w:rsidP="00370A5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 solução deve apresentar um programa de competitividade da Indústria da Construção Civil, contemplando módulos de consultoria e instrutoria, abordando temas como planejamento, finanças, qualidade, processos e atuação inovadora junto a cadeia da construção civil.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Empresas da cadeia da construção civil que fornecem soluções para construtoras e incorporadoras da região; e</w:t>
            </w:r>
          </w:p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Construtoras que buscam desenvolver sua cadeia de fornecedores para melhor      qualificação, produtividade e qualidade de seus produtos e serviços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Inovação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Solução com foco em práticas de gerenciamento de projetos por meio de ferramentas ágeis e utilizadas no planejamento e desenvolvimento de projetos de inovação voltado a produtos, serviços e processos nas organizações.</w:t>
            </w:r>
          </w:p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Deve abordar temas como as principais etapas de projetos de inovação, captação de recursos, definição de diretrizes e indicadores, entre outros assuntos pertinentes ao tema.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EPP do segmento de comércio, serviços e indústrias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Transformação Digital no</w:t>
            </w:r>
          </w:p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Agronegócio</w:t>
            </w:r>
          </w:p>
          <w:p w:rsidR="00D85284" w:rsidRPr="00E74346" w:rsidRDefault="00D85284" w:rsidP="00370A5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Solução que permita implantar transformação digital junto ao agronegócio, sobretudo nas pequenas propriedades rurais para que possam melhorar a gestão, produtividade e aspectos relacionadas a qualidade de vida das pessoas envolvidas.</w:t>
            </w:r>
          </w:p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Modelo para aumento da busca e adoção de tecnologias em pequenas propriedades rurais.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Pequenas propriedades rurais, empresas e cooperativas que queiram atuar junto a cadeia produtiva do agronegócio e seus associados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Logística Internacional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Capacitação das empresas da cadeia de logística internacional, abordando temas como planejamento, finanças, marketing e vendas.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Pequenos negócios da cadeia de logística internacional, agentes marítimos, transportadores, despachantes, empresas de logística e de armazenamento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Equilíbrio emocional /Autoconhecimento e desenvolvimento Pessoal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Workshop com foco no autoconhecimento e desenvolvimento pessoal do participante com intuito de descobrir suas qualidades, capacidades, bem como oportunidade de melhorias.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MEI, ME, EPP, Pessoa física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O futuro do Trabalho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Workshop que aborde a transformação pela qual o mercado está passando, sendo necessário um olhar diferenciado e visão de um futuro próximo. Estar atento às mudanças do mercado (novas profissões e outras que deixaram de existir)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MEI, ME, EPP, potencial empreendedor, candidato a empresário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Formação para o RH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Capacitação em formato de workshop/oficina para instigar e/ou desenvolver o RH, alinhando gestão de pessoas ao planejamento estratégico da empresa.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ME, EPP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Atitude Protagonista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Workshop, capacitação voltada à conscientização do participante, buscando ferramentas para seu autodesenvolvimento para que possa ser o protagonista da sua própria jornada.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Pessoa física, ME, MEI, EPP, empreendedores, 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Diagnóstico de cultura / Cultura por propósito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Consultoria, workshop com foco em trabalhar a cultura da empresa, o jeito de ser, o perfil dos funcionários, ter alinhamento e criar sinergia entre a cultura e o propósito de cada empresa.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EPP, 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Sensibilização para Engajamento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Essa capacitação tem o objetivo de mitigar a grande dificuldade e busca constante das empresas pelo engajamento dos funcionários, enfatizando a cooperação e o trabalho em equipe.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EPP, 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Equipes protagonistas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Capacitação no formato de workshop, com objetivo de trazer a independência e senso de “dono do negócio” para todos os funcionários e despertar o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intraempreendedorismo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EPP, 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Equipes de Alta Performance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Elevar o desenvolvimento e nível das equipes, objetivando uma maior entrega de resultados.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ME, EPP, startups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Design organizacional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Consultoria voltada a criar organogramas, construir e desconstruir equipes e alocando corretamente em seus espaços ocupacionais, onde possam entregar mais resultados.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ME, EPP, startups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Sucesso do Cliente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Capacitação e/ou consultoria objetivando trabalhar técnicas de fidelização dos clientes.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EPP, 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Liderança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Solução modulada, buscando desenvolver características e habilidades de liderança e com isso melhorar os resultados das equipes.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EPP, 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Endomarketing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 proposta de capacitação e/ou consultoria deve enfatizar a correta comunicação interna dos colaboradores como forma de minimizar os conflitos causados por uma comunicação não efetiva.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EPP, startups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lastRenderedPageBreak/>
              <w:t>Formação de Preço de Venda e análise de Custos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>Capacitação com ênfase em formação de preço de venda para indústria, comércio e serviço, bem como análise para redução dos custos da empresa, trazendo em melhores resultados.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>ME, EPP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 xml:space="preserve">Apicultura e </w:t>
            </w:r>
            <w:proofErr w:type="spellStart"/>
            <w:r w:rsidRPr="00E74346">
              <w:rPr>
                <w:rFonts w:cstheme="minorHAnsi"/>
                <w:bCs/>
              </w:rPr>
              <w:t>meliponicultura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 xml:space="preserve">Consultorias e capacitações em apicultura e/ou </w:t>
            </w:r>
            <w:proofErr w:type="spellStart"/>
            <w:r w:rsidRPr="00E74346">
              <w:rPr>
                <w:rFonts w:cstheme="minorHAnsi"/>
                <w:bCs/>
              </w:rPr>
              <w:t>meliponicultura</w:t>
            </w:r>
            <w:proofErr w:type="spellEnd"/>
            <w:r w:rsidRPr="00E74346">
              <w:rPr>
                <w:rFonts w:cstheme="minorHAnsi"/>
                <w:bCs/>
              </w:rPr>
              <w:t xml:space="preserve"> (oficinas, seminários, cursos, workshops), para manejo de colmeias, produção de mel, pólen, própolis e demais derivados, polinização, produção de rainhas, divisão de colmeias, manejo de pragas doenças e predadores, processamento em legislação de mel, receitas gastronômicas e comercialização.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 xml:space="preserve">Pequenos negócios (MEI, ME e EPP) da cadeia produtiva do mel e produtores rurais </w:t>
            </w:r>
          </w:p>
        </w:tc>
      </w:tr>
      <w:tr w:rsidR="00D85284" w:rsidRPr="00E74346" w:rsidTr="00C35BA6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284" w:rsidRPr="00E74346" w:rsidRDefault="00D85284" w:rsidP="00370A57">
            <w:pPr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>Agroecologia e agricultura orgânica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AE3263">
            <w:pPr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>Consultorias e capacitações em agroecologia e agricultura orgânica (oficinas, seminários, cursos, workshops), para manejo de culturas vegetais e criações animais, comercialização e processamento de produtos vegetais e animais, boas práticas de produção e segurança alimentar.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84" w:rsidRPr="00E74346" w:rsidRDefault="00D85284" w:rsidP="00370A57">
            <w:pPr>
              <w:ind w:left="-108"/>
              <w:jc w:val="center"/>
              <w:rPr>
                <w:rFonts w:cstheme="minorHAnsi"/>
                <w:bCs/>
              </w:rPr>
            </w:pPr>
            <w:r w:rsidRPr="00E74346">
              <w:rPr>
                <w:rFonts w:cstheme="minorHAnsi"/>
                <w:bCs/>
              </w:rPr>
              <w:t xml:space="preserve">Pequenos negócios (MEI, ME e EPP) da cadeia produtiva de produtos agroecológicos e produtores rurais </w:t>
            </w:r>
          </w:p>
        </w:tc>
      </w:tr>
    </w:tbl>
    <w:p w:rsidR="00FC6995" w:rsidRDefault="00FC6995" w:rsidP="00FC6995">
      <w:pPr>
        <w:rPr>
          <w:rFonts w:cs="Arial"/>
          <w:color w:val="000000"/>
        </w:rPr>
      </w:pPr>
    </w:p>
    <w:p w:rsidR="00FC6995" w:rsidRPr="00E81A61" w:rsidRDefault="00FC6995" w:rsidP="00FC6995">
      <w:pPr>
        <w:pStyle w:val="sgc"/>
        <w:numPr>
          <w:ilvl w:val="0"/>
          <w:numId w:val="0"/>
        </w:numPr>
        <w:ind w:left="420" w:hanging="420"/>
        <w:rPr>
          <w:rFonts w:ascii="Calibri" w:hAnsi="Calibri"/>
          <w:lang w:val="pt-BR"/>
        </w:rPr>
      </w:pPr>
      <w:r w:rsidRPr="000B4C11">
        <w:rPr>
          <w:rFonts w:ascii="Calibri" w:hAnsi="Calibri"/>
          <w:lang w:val="pt-BR"/>
        </w:rPr>
        <w:t xml:space="preserve">Edital de </w:t>
      </w:r>
      <w:r w:rsidR="00E32A53" w:rsidRPr="000B4C11">
        <w:rPr>
          <w:rFonts w:ascii="Calibri" w:hAnsi="Calibri"/>
          <w:lang w:val="pt-BR"/>
        </w:rPr>
        <w:t>C</w:t>
      </w:r>
      <w:r w:rsidR="00E32A53">
        <w:rPr>
          <w:rFonts w:ascii="Calibri" w:hAnsi="Calibri"/>
          <w:lang w:val="pt-BR"/>
        </w:rPr>
        <w:t>adastramento</w:t>
      </w:r>
      <w:r>
        <w:rPr>
          <w:rFonts w:ascii="Calibri" w:hAnsi="Calibri"/>
          <w:lang w:val="pt-BR"/>
        </w:rPr>
        <w:t xml:space="preserve"> de Soluções de Mercado</w:t>
      </w:r>
      <w:r w:rsidRPr="000B4C11">
        <w:rPr>
          <w:rFonts w:ascii="Calibri" w:hAnsi="Calibri"/>
          <w:lang w:val="pt-BR"/>
        </w:rPr>
        <w:t xml:space="preserve"> n.º </w:t>
      </w:r>
      <w:r>
        <w:rPr>
          <w:rFonts w:ascii="Calibri" w:hAnsi="Calibri"/>
          <w:lang w:val="pt-BR"/>
        </w:rPr>
        <w:t>02/2020 – Comunicado 02</w:t>
      </w:r>
    </w:p>
    <w:p w:rsidR="00FC6995" w:rsidRPr="00E32953" w:rsidRDefault="00FC6995" w:rsidP="00FC6995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:rsidR="00FC6995" w:rsidRDefault="00FC6995" w:rsidP="00FC6995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</w:rPr>
      </w:pPr>
    </w:p>
    <w:tbl>
      <w:tblPr>
        <w:tblpPr w:leftFromText="141" w:rightFromText="141" w:bottomFromText="155" w:vertAnchor="text" w:tblpXSpec="center"/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185"/>
        <w:gridCol w:w="2503"/>
      </w:tblGrid>
      <w:tr w:rsidR="00FC6995" w:rsidRPr="009B7481" w:rsidTr="006156C8">
        <w:trPr>
          <w:trHeight w:val="25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995" w:rsidRPr="00F610BA" w:rsidRDefault="00FC6995" w:rsidP="006156C8">
            <w:pPr>
              <w:spacing w:line="276" w:lineRule="auto"/>
              <w:jc w:val="center"/>
              <w:rPr>
                <w:b/>
                <w:bCs/>
              </w:rPr>
            </w:pPr>
            <w:r w:rsidRPr="00F610BA">
              <w:rPr>
                <w:b/>
                <w:bCs/>
              </w:rPr>
              <w:t>Demanda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995" w:rsidRPr="00F610BA" w:rsidRDefault="00FC6995" w:rsidP="006156C8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F610BA">
              <w:rPr>
                <w:b/>
                <w:bCs/>
              </w:rPr>
              <w:t>Foco/Ênfase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995" w:rsidRPr="00F610BA" w:rsidRDefault="00FC6995" w:rsidP="006156C8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F610BA">
              <w:rPr>
                <w:b/>
                <w:bCs/>
              </w:rPr>
              <w:t>Público-alvo (*)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Inovação nos processos, produtos e serviços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spacing w:after="0"/>
              <w:rPr>
                <w:sz w:val="20"/>
                <w:szCs w:val="20"/>
              </w:rPr>
            </w:pPr>
            <w:r w:rsidRPr="00E74346">
              <w:rPr>
                <w:sz w:val="20"/>
                <w:szCs w:val="20"/>
              </w:rPr>
              <w:t xml:space="preserve">Capacitações que abordem algumas dificuldades das </w:t>
            </w:r>
            <w:proofErr w:type="spellStart"/>
            <w:r w:rsidRPr="00E74346">
              <w:rPr>
                <w:sz w:val="20"/>
                <w:szCs w:val="20"/>
              </w:rPr>
              <w:t>MPEs</w:t>
            </w:r>
            <w:proofErr w:type="spellEnd"/>
            <w:r w:rsidRPr="00E74346">
              <w:rPr>
                <w:sz w:val="20"/>
                <w:szCs w:val="20"/>
              </w:rPr>
              <w:t xml:space="preserve">, tais como: 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Dificuldade de gerenciar os recursos para inovar;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Dificuldade de acesso aos recursos disponibilizados pelas organizações de apoio à pesquisa e desenvolvimento;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Ausência de capacitação no processo de pesquisa e desenvolvimento de inovação;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 xml:space="preserve">Não conseguem responder a tempo a necessidade de inovação que o mercado demanda; 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Necessidade de criar e/ou organizar os processos de inovação da empresa;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Diminuição de receita perante a competitividade e concorrência;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Evolução tecnológica permanente;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sz w:val="20"/>
                <w:szCs w:val="20"/>
              </w:rPr>
              <w:t>Empresas ME e EPP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color w:val="212121"/>
                <w:sz w:val="20"/>
                <w:szCs w:val="20"/>
              </w:rPr>
            </w:pPr>
          </w:p>
          <w:p w:rsidR="00FC6995" w:rsidRPr="00E74346" w:rsidRDefault="00FC6995" w:rsidP="006156C8">
            <w:pPr>
              <w:jc w:val="center"/>
              <w:rPr>
                <w:color w:val="212121"/>
                <w:sz w:val="20"/>
                <w:szCs w:val="20"/>
              </w:rPr>
            </w:pPr>
            <w:r w:rsidRPr="00E74346">
              <w:rPr>
                <w:color w:val="212121"/>
                <w:sz w:val="20"/>
                <w:szCs w:val="20"/>
              </w:rPr>
              <w:t>Marketing Digital</w:t>
            </w:r>
          </w:p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shd w:val="clear" w:color="auto" w:fill="FFFFFF"/>
              <w:rPr>
                <w:color w:val="212121"/>
                <w:sz w:val="20"/>
                <w:szCs w:val="20"/>
              </w:rPr>
            </w:pPr>
            <w:r w:rsidRPr="00E74346">
              <w:rPr>
                <w:color w:val="212121"/>
                <w:sz w:val="20"/>
                <w:szCs w:val="20"/>
              </w:rPr>
              <w:t>Capacitações e/ou consultorias que abordem formas de comunicação do negócio, especificamente em marketing digital, possibilitando às empresas a diferenciação no mercado.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color w:val="212121"/>
                <w:sz w:val="20"/>
                <w:szCs w:val="20"/>
              </w:rPr>
              <w:t>MEI, ME e EPP, principalmente do setor de serviços. </w:t>
            </w:r>
          </w:p>
        </w:tc>
      </w:tr>
      <w:tr w:rsidR="00FC6995" w:rsidRPr="00C3623C" w:rsidTr="006156C8">
        <w:trPr>
          <w:trHeight w:val="126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Vitivinicultura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 xml:space="preserve">Consultorias e/ou capacitações em vitivinicultura, focadas em mercado doméstico e internacional e os processos de adequação, abordando estratégias de crescimento dessa indústria por meio de novos mercados, tanto doméstico quanto internacional. </w:t>
            </w:r>
          </w:p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Necessidade de ajuste nos processos, finanças e marketing.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MEI, ME e EPP da cadeia produtiva do vinho e produtores rurais.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Agroecologia e agricultura orgânica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Consultorias e/ou capacitações em agroecologia e agricultura orgânica, para manejo de culturas vegetais e criações animais, comercialização e processamento de produtos vegetais e animais, boas práticas de produção e segurança alimentar.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 xml:space="preserve">Pequenos negócios (MEI, ME e EPP) da cadeia produtiva de produtos agroecológicos e produtores rurais 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pStyle w:val="PargrafodaLista"/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  <w:p w:rsidR="00FC6995" w:rsidRPr="00E74346" w:rsidRDefault="00FC6995" w:rsidP="006156C8">
            <w:pPr>
              <w:pStyle w:val="PargrafodaLista"/>
              <w:spacing w:after="0" w:line="240" w:lineRule="auto"/>
              <w:ind w:left="416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E74346">
              <w:rPr>
                <w:rFonts w:asciiTheme="minorHAnsi" w:hAnsiTheme="minorHAnsi"/>
                <w:sz w:val="20"/>
                <w:szCs w:val="20"/>
              </w:rPr>
              <w:t>Validação de ideias</w:t>
            </w:r>
          </w:p>
          <w:p w:rsidR="00FC6995" w:rsidRPr="00E74346" w:rsidRDefault="00FC6995" w:rsidP="006156C8">
            <w:pPr>
              <w:pStyle w:val="PargrafodaLista"/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pStyle w:val="PargrafodaLista"/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E74346">
              <w:rPr>
                <w:rFonts w:asciiTheme="minorHAnsi" w:hAnsiTheme="minorHAnsi"/>
                <w:sz w:val="20"/>
                <w:szCs w:val="20"/>
              </w:rPr>
              <w:t>Capacitação com foco nas etapas de uma ideia, desde a sua criação, prototipagem e validação.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MEI, ME, EPP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pStyle w:val="PargrafodaLista"/>
              <w:spacing w:after="0" w:line="240" w:lineRule="auto"/>
              <w:ind w:left="416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/>
                <w:sz w:val="20"/>
                <w:szCs w:val="20"/>
              </w:rPr>
              <w:t>Divulgação do negócio com pouco investimento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autoSpaceDE w:val="0"/>
              <w:autoSpaceDN w:val="0"/>
              <w:rPr>
                <w:sz w:val="20"/>
                <w:szCs w:val="20"/>
              </w:rPr>
            </w:pPr>
            <w:r w:rsidRPr="00E74346">
              <w:rPr>
                <w:sz w:val="20"/>
                <w:szCs w:val="20"/>
              </w:rPr>
              <w:t xml:space="preserve">Capacitação com técnicas para fazer, sem grandes produções ou investimentos, ações que promovam o pequeno negócio: </w:t>
            </w:r>
            <w:proofErr w:type="spellStart"/>
            <w:r w:rsidRPr="00E74346">
              <w:rPr>
                <w:sz w:val="20"/>
                <w:szCs w:val="20"/>
              </w:rPr>
              <w:t>live</w:t>
            </w:r>
            <w:proofErr w:type="spellEnd"/>
            <w:r w:rsidRPr="00E74346">
              <w:rPr>
                <w:sz w:val="20"/>
                <w:szCs w:val="20"/>
              </w:rPr>
              <w:t>, vídeos.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MEI, ME, EPP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pStyle w:val="NormalWeb"/>
              <w:shd w:val="clear" w:color="auto" w:fill="FFFFFF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>Branding e Design de Marca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spacing w:after="0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Branding e design de marca ou plano de marketing - solução para desenho de marca e posicionamento coletivo e/ ou plano de marketing coletivo de grupo, segmento ou território. Abordar: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DNA da marca para descobrir os 5 pilares que movem a empresa e definir um propósito através do que a empresa gostaria de oferecer para os clientes e quais as experiências que irá entregar para o público;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theme="minorHAnsi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 xml:space="preserve">Posicionamento de marca: para empresas que querem definir como se comunicar com o cliente e alinhar essa comunicar nas redes sociais, no online e </w:t>
            </w:r>
            <w:proofErr w:type="spellStart"/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offline</w:t>
            </w:r>
            <w:proofErr w:type="spellEnd"/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 xml:space="preserve"> e na entrega de produtos e serviços;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pStyle w:val="NormalWeb"/>
              <w:shd w:val="clear" w:color="auto" w:fill="FFFFFF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>ME, EPP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74346">
              <w:rPr>
                <w:bCs/>
                <w:sz w:val="20"/>
                <w:szCs w:val="20"/>
              </w:rPr>
              <w:t>Mindfulness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spacing w:after="0"/>
              <w:rPr>
                <w:rFonts w:cstheme="minorHAnsi"/>
                <w:color w:val="201F1E"/>
                <w:sz w:val="20"/>
                <w:szCs w:val="20"/>
              </w:rPr>
            </w:pPr>
            <w:r w:rsidRPr="00E74346">
              <w:rPr>
                <w:rFonts w:cstheme="minorHAnsi"/>
                <w:color w:val="201F1E"/>
                <w:sz w:val="20"/>
                <w:szCs w:val="20"/>
              </w:rPr>
              <w:t>Técnicas e práticas utilizadas e possam auxiliá-los em suas empresas. Abordar: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Auxiliar os empreendedores a desenvolver novos padrões mentais e estimular a resolução criativa de problemas;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Colaborar para que os empreendedores desenvolvam uma maneira mais saudável e eficaz de lidar com suas emoções;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MEI, ME, EPP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sz w:val="20"/>
                <w:szCs w:val="20"/>
              </w:rPr>
              <w:lastRenderedPageBreak/>
              <w:t xml:space="preserve">Lean </w:t>
            </w:r>
            <w:proofErr w:type="spellStart"/>
            <w:r w:rsidRPr="00E74346">
              <w:rPr>
                <w:sz w:val="20"/>
                <w:szCs w:val="20"/>
              </w:rPr>
              <w:t>Thinking</w:t>
            </w:r>
            <w:proofErr w:type="spellEnd"/>
            <w:r w:rsidRPr="00E74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sz w:val="20"/>
                <w:szCs w:val="20"/>
              </w:rPr>
              <w:t xml:space="preserve">Capacitação e consultoria utilizando o </w:t>
            </w:r>
            <w:proofErr w:type="gramStart"/>
            <w:r w:rsidRPr="00E74346">
              <w:rPr>
                <w:sz w:val="20"/>
                <w:szCs w:val="20"/>
              </w:rPr>
              <w:t>método  Lean</w:t>
            </w:r>
            <w:proofErr w:type="gramEnd"/>
            <w:r w:rsidRPr="00E74346">
              <w:rPr>
                <w:sz w:val="20"/>
                <w:szCs w:val="20"/>
              </w:rPr>
              <w:t xml:space="preserve"> </w:t>
            </w:r>
            <w:proofErr w:type="spellStart"/>
            <w:r w:rsidRPr="00E74346">
              <w:rPr>
                <w:sz w:val="20"/>
                <w:szCs w:val="20"/>
              </w:rPr>
              <w:t>Thinking</w:t>
            </w:r>
            <w:proofErr w:type="spellEnd"/>
            <w:r w:rsidRPr="00E74346">
              <w:rPr>
                <w:sz w:val="20"/>
                <w:szCs w:val="20"/>
              </w:rPr>
              <w:t xml:space="preserve"> (pensamento enxuto) em empresas. Abordar a redução de custos, aumentar a produtividade e otimizar os recursos de maneira a gerar maior valor ao cliente e a empresa.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ME, EPP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>Educação Inclusiva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>Prestar suporte técnico, pedagógico aos professores das escolas, grupos e associações que atuam com a Educação Inclusiva, vindo a enriquecer seus currículos, práticas e atendimentos especializados, através da disseminação do Empreendedorismo, estimular a superação, mediação, cooperação, aceitação e a inovação, tornando as aulas mais atrativas e prazerosas, conectadas a projetos que podem ultrapassar o limite as escola e sociedade.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>Docentes em geral do Ensino Especializado (professores, monitores, estagiários, profissionais técnicos, pais, APP – Associação de Pais e Professores)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Ensino do Futuro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 xml:space="preserve">Estimular reflexão de docentes e discentes em geral (Ensino Médio e Superior) a refletir sobre mudanças, fatos, fenômenos e transformações impactantes, com o uso da tecnologia, os processos informatizados, as projeções futuras e os objetivos de vida a curto/médio e longo prazo.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>Secretaria de Educação, Estudantes: Ensino Médio e superior, colaboradores de empresas, gestores) e setores afins.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>Consultoria Educacional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pStyle w:val="Normal1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 w:cstheme="majorHAnsi"/>
                <w:sz w:val="20"/>
                <w:szCs w:val="20"/>
              </w:rPr>
              <w:t xml:space="preserve">Prestar subsídio técnico e especializado, à equipe gestora de cada unidade escolar, que anualmente precisam validar, ajustando seu PPPP Escolar, documento este que norteia todas as decisões escolares, dá autonomia à escola e professores, reconhece a práxis pedagógica e norteia o coletivo escolar (bem como alunos, professores e funcionários), referente questões e ações diversas, metodologias de ensino, avaliação, dentre outras questões importantes, que em síntese são apresentadas e aprovadas na Assembleia de Pais. 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cstheme="majorHAnsi"/>
                <w:sz w:val="20"/>
                <w:szCs w:val="20"/>
              </w:rPr>
              <w:t>Secretaria de Educação, Diretor de escola, Coordenadores Pedagógicos e especialistas (Profissional ATP), Orientador e Supervisor. Escolas Públicas e privadas (Educação Básica)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Implantação da Base Nacional Curricular Comum.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AE3263" w:rsidP="00AE3263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W</w:t>
            </w:r>
            <w:r w:rsidR="00FC6995" w:rsidRPr="00E74346">
              <w:rPr>
                <w:bCs/>
                <w:sz w:val="20"/>
                <w:szCs w:val="20"/>
              </w:rPr>
              <w:t>orkshops visando à disseminação do conhecimento sobre a BNCC e suas competências gerais, bem como consultoria voltada para auxiliar a adequação do currículo da escola à essa nova proposta.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Professores de escolas da educação básica (</w:t>
            </w:r>
            <w:proofErr w:type="spellStart"/>
            <w:r w:rsidRPr="00E74346">
              <w:rPr>
                <w:bCs/>
                <w:sz w:val="20"/>
                <w:szCs w:val="20"/>
              </w:rPr>
              <w:t>Educação</w:t>
            </w:r>
            <w:proofErr w:type="spellEnd"/>
            <w:r w:rsidRPr="00E74346">
              <w:rPr>
                <w:bCs/>
                <w:sz w:val="20"/>
                <w:szCs w:val="20"/>
              </w:rPr>
              <w:t xml:space="preserve"> Infantil, Ensino Fundamental e Ensino </w:t>
            </w:r>
            <w:proofErr w:type="spellStart"/>
            <w:r w:rsidRPr="00E74346">
              <w:rPr>
                <w:bCs/>
                <w:sz w:val="20"/>
                <w:szCs w:val="20"/>
              </w:rPr>
              <w:t>Médio</w:t>
            </w:r>
            <w:proofErr w:type="spellEnd"/>
            <w:r w:rsidRPr="00E74346">
              <w:rPr>
                <w:bCs/>
                <w:sz w:val="20"/>
                <w:szCs w:val="20"/>
              </w:rPr>
              <w:t>)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Capacitação de professores no uso de metodologias ativas no processo de aprendizagem.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As soluções devem proporcionar ao aluno a habilidade de pensar de maneira diferente e resolver problemas conectando ideias que, em princípio, parece</w:t>
            </w:r>
            <w:r w:rsidR="00AE3263" w:rsidRPr="00E74346">
              <w:rPr>
                <w:bCs/>
                <w:sz w:val="20"/>
                <w:szCs w:val="20"/>
              </w:rPr>
              <w:t>m desconectadas. Podem incluir</w:t>
            </w:r>
            <w:r w:rsidRPr="00E74346">
              <w:rPr>
                <w:bCs/>
                <w:sz w:val="20"/>
                <w:szCs w:val="20"/>
              </w:rPr>
              <w:t xml:space="preserve"> workshops visando à preparação de professores para o uso de metodologias ativas em suas salas de aula e devem abordar diferentes metodologias ativas, como por exemplo: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Aprendizagem baseada em problemas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lastRenderedPageBreak/>
              <w:t>Aprendizagem baseada em projetos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Aprendizagem entre times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Classe de aula invertida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 w:cs="Arial"/>
                <w:color w:val="201F1E"/>
                <w:sz w:val="20"/>
                <w:szCs w:val="20"/>
              </w:rPr>
            </w:pPr>
            <w:proofErr w:type="spellStart"/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Fish</w:t>
            </w:r>
            <w:proofErr w:type="spellEnd"/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 xml:space="preserve"> Bowl (método do aquário)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asciiTheme="minorHAnsi" w:hAnsiTheme="minorHAnsi" w:cs="Arial"/>
                <w:color w:val="201F1E"/>
                <w:sz w:val="20"/>
                <w:szCs w:val="20"/>
              </w:rPr>
              <w:t>Gamificação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lastRenderedPageBreak/>
              <w:t>Instituições de Ensino de diferentes níveis (Educação Básica, Educação Profissionalizante, Educação Superior e Educação de Jovens e Adultos)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ascii="Calibri" w:hAnsi="Calibri"/>
                <w:bCs/>
                <w:sz w:val="20"/>
                <w:szCs w:val="20"/>
              </w:rPr>
              <w:lastRenderedPageBreak/>
              <w:t>Competitividade no</w:t>
            </w:r>
            <w:r w:rsidRPr="00E7434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74346">
              <w:rPr>
                <w:rFonts w:ascii="Calibri" w:hAnsi="Calibri"/>
                <w:bCs/>
                <w:sz w:val="20"/>
                <w:szCs w:val="20"/>
              </w:rPr>
              <w:t>ambiente digital e nas suas práticas sustentáveis pós COVID-19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pStyle w:val="NormalWeb"/>
              <w:spacing w:line="252" w:lineRule="auto"/>
              <w:rPr>
                <w:sz w:val="20"/>
                <w:szCs w:val="20"/>
              </w:rPr>
            </w:pPr>
            <w:r w:rsidRPr="00E74346">
              <w:rPr>
                <w:rFonts w:ascii="Calibri" w:hAnsi="Calibri"/>
                <w:bCs/>
                <w:sz w:val="20"/>
                <w:szCs w:val="20"/>
              </w:rPr>
              <w:t>Consultoria</w:t>
            </w:r>
            <w:r w:rsidRPr="00E74346">
              <w:rPr>
                <w:rFonts w:ascii="Calibri" w:hAnsi="Calibri"/>
                <w:sz w:val="20"/>
                <w:szCs w:val="20"/>
              </w:rPr>
              <w:t xml:space="preserve"> ou curso para empresa individual ou um grupo específico do trade, envolvendo atividades coletivas e individuais. Sugere-se aulas presenciais, mentorias, e-book, realização de um projeto de evento em grupo e apresentação posterior para profissionais experientes do setor, em ambiente digital.</w:t>
            </w:r>
            <w:r w:rsidRPr="00E74346">
              <w:rPr>
                <w:rFonts w:ascii="Calibri" w:hAnsi="Calibri"/>
                <w:bCs/>
                <w:color w:val="201F1E"/>
                <w:sz w:val="20"/>
                <w:szCs w:val="20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pStyle w:val="NormalWeb"/>
              <w:spacing w:line="252" w:lineRule="auto"/>
              <w:rPr>
                <w:sz w:val="20"/>
                <w:szCs w:val="20"/>
              </w:rPr>
            </w:pPr>
            <w:r w:rsidRPr="00E74346">
              <w:rPr>
                <w:rFonts w:ascii="Calibri" w:hAnsi="Calibri"/>
                <w:color w:val="201F1E"/>
                <w:sz w:val="20"/>
                <w:szCs w:val="20"/>
              </w:rPr>
              <w:t>Hotéis, agências de viagens e turismo, empresas de transporte e receptivo, buffets, bares e restaurantes, casas noturnas, espaços de eventos, empresas de equipamentos de audiovisual, comércio em geral.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Turismo Inteligente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ascii="Calibri" w:hAnsi="Calibri"/>
                <w:sz w:val="20"/>
                <w:szCs w:val="20"/>
              </w:rPr>
              <w:t>A competitividade dos destinos pós COVID-19 passa pela adoção da prática da inovação e novas tecnologias que podem transformar o destino numa cidade turística inteligente. Consultoria ou curso para empresas ou destinos, individual ou um grupo específico, envolvendo atividades coletivas, individuais, presenciais e online. Sugere-se aulas presenciais, mentorias, e-book, realização de um projeto de evento em grupo e apresentação posterior para profissionais experientes do setor, em ambiente digital.</w:t>
            </w:r>
            <w:r w:rsidRPr="00E74346">
              <w:rPr>
                <w:rFonts w:ascii="Calibri" w:hAnsi="Calibri"/>
                <w:b/>
                <w:bCs/>
                <w:color w:val="201F1E"/>
                <w:sz w:val="20"/>
                <w:szCs w:val="20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rFonts w:ascii="Calibri" w:hAnsi="Calibri"/>
                <w:sz w:val="20"/>
                <w:szCs w:val="20"/>
              </w:rPr>
              <w:t>Gestores de prefeituras, associações e entidades de classe, empreendedores.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Protocolos COVID-19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 xml:space="preserve">Consultoria de adequação aos novos protocolos de segurança e saúde para empresas de turismo em convivência com a COVID-19. Abordar: 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eastAsia="Times New Roman" w:hAnsiTheme="minorHAnsi"/>
                <w:bCs/>
                <w:sz w:val="20"/>
                <w:szCs w:val="20"/>
                <w:lang w:eastAsia="pt-BR"/>
              </w:rPr>
            </w:pPr>
            <w:r w:rsidRPr="00E74346">
              <w:rPr>
                <w:rFonts w:asciiTheme="minorHAnsi" w:eastAsia="Times New Roman" w:hAnsiTheme="minorHAnsi"/>
                <w:bCs/>
                <w:sz w:val="20"/>
                <w:szCs w:val="20"/>
                <w:lang w:eastAsia="pt-BR"/>
              </w:rPr>
              <w:t>Diagnóstico e Análise do estabelecimento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eastAsia="Times New Roman" w:hAnsiTheme="minorHAnsi"/>
                <w:bCs/>
                <w:sz w:val="20"/>
                <w:szCs w:val="20"/>
                <w:lang w:eastAsia="pt-BR"/>
              </w:rPr>
            </w:pPr>
            <w:r w:rsidRPr="00E74346">
              <w:rPr>
                <w:rFonts w:asciiTheme="minorHAnsi" w:eastAsia="Times New Roman" w:hAnsiTheme="minorHAnsi"/>
                <w:bCs/>
                <w:sz w:val="20"/>
                <w:szCs w:val="20"/>
                <w:lang w:eastAsia="pt-BR"/>
              </w:rPr>
              <w:t xml:space="preserve">Conscientização para Proprietários e Colaboradores. </w:t>
            </w:r>
          </w:p>
          <w:p w:rsidR="00FC6995" w:rsidRPr="00E74346" w:rsidRDefault="00FC6995" w:rsidP="00FC6995">
            <w:pPr>
              <w:pStyle w:val="PargrafodaLista"/>
              <w:numPr>
                <w:ilvl w:val="0"/>
                <w:numId w:val="10"/>
              </w:numPr>
              <w:spacing w:after="0"/>
              <w:ind w:left="318"/>
              <w:rPr>
                <w:rFonts w:asciiTheme="minorHAnsi" w:eastAsia="Times New Roman" w:hAnsiTheme="minorHAnsi"/>
                <w:bCs/>
                <w:sz w:val="20"/>
                <w:szCs w:val="20"/>
                <w:lang w:eastAsia="pt-BR"/>
              </w:rPr>
            </w:pPr>
            <w:r w:rsidRPr="00E74346">
              <w:rPr>
                <w:rFonts w:asciiTheme="minorHAnsi" w:eastAsia="Times New Roman" w:hAnsiTheme="minorHAnsi"/>
                <w:bCs/>
                <w:sz w:val="20"/>
                <w:szCs w:val="20"/>
                <w:lang w:eastAsia="pt-BR"/>
              </w:rPr>
              <w:t> Implantar o Protocolo de Atendimento seguro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Empresas ligadas ao trade turístico, no segmento de alimentos e bebidas, meios de hospedagem, serviços e atrativos turísticos.</w:t>
            </w:r>
          </w:p>
        </w:tc>
      </w:tr>
      <w:tr w:rsidR="00FC6995" w:rsidRPr="00C3623C" w:rsidTr="006156C8">
        <w:trPr>
          <w:trHeight w:val="2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95" w:rsidRPr="00E74346" w:rsidRDefault="00FC6995" w:rsidP="006156C8">
            <w:pPr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Adaptação de Modelo de Negócio pós COVID-19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pStyle w:val="NormalWeb"/>
              <w:rPr>
                <w:rFonts w:asciiTheme="minorHAnsi" w:hAnsiTheme="minorHAnsi"/>
                <w:bCs/>
                <w:sz w:val="20"/>
                <w:szCs w:val="20"/>
              </w:rPr>
            </w:pPr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 xml:space="preserve">Adequação do modelo do negócio, frente ao cenário de distanciamento social, sendo necessário identificar novas estratégias de negócio em relação a tratativas com clientes, empregados ou fornecedores, e identificar quais as novas competências que precisam desenvolver para desenvolver estas estratégias.  Sugere-se capacitação presencial e </w:t>
            </w:r>
            <w:proofErr w:type="spellStart"/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>on</w:t>
            </w:r>
            <w:proofErr w:type="spellEnd"/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>line</w:t>
            </w:r>
            <w:proofErr w:type="spellEnd"/>
            <w:r w:rsidRPr="00E74346">
              <w:rPr>
                <w:rFonts w:asciiTheme="minorHAnsi" w:hAnsiTheme="minorHAnsi"/>
                <w:bCs/>
                <w:sz w:val="20"/>
                <w:szCs w:val="20"/>
              </w:rPr>
              <w:t>. Analisar riscos e oportunidades do negócio, bem como as competências atuais e futuras. Apresentar projeto piloto da transformação.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995" w:rsidRPr="00E74346" w:rsidRDefault="00FC6995" w:rsidP="006156C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E74346">
              <w:rPr>
                <w:bCs/>
                <w:sz w:val="20"/>
                <w:szCs w:val="20"/>
              </w:rPr>
              <w:t>MEI, ME, EPP</w:t>
            </w:r>
          </w:p>
        </w:tc>
      </w:tr>
    </w:tbl>
    <w:p w:rsidR="009600C6" w:rsidRPr="00E81A61" w:rsidRDefault="009600C6" w:rsidP="009600C6">
      <w:pPr>
        <w:pStyle w:val="sgc"/>
        <w:numPr>
          <w:ilvl w:val="0"/>
          <w:numId w:val="0"/>
        </w:numPr>
        <w:ind w:left="420" w:hanging="420"/>
        <w:rPr>
          <w:rFonts w:ascii="Calibri" w:hAnsi="Calibri"/>
          <w:lang w:val="pt-BR"/>
        </w:rPr>
      </w:pPr>
      <w:r w:rsidRPr="000B4C11">
        <w:rPr>
          <w:rFonts w:ascii="Calibri" w:hAnsi="Calibri"/>
          <w:lang w:val="pt-BR"/>
        </w:rPr>
        <w:t xml:space="preserve">Edital de </w:t>
      </w:r>
      <w:r w:rsidR="00E32A53" w:rsidRPr="000B4C11">
        <w:rPr>
          <w:rFonts w:ascii="Calibri" w:hAnsi="Calibri"/>
          <w:lang w:val="pt-BR"/>
        </w:rPr>
        <w:t>C</w:t>
      </w:r>
      <w:r w:rsidR="00E32A53">
        <w:rPr>
          <w:rFonts w:ascii="Calibri" w:hAnsi="Calibri"/>
          <w:lang w:val="pt-BR"/>
        </w:rPr>
        <w:t>adastramento</w:t>
      </w:r>
      <w:r>
        <w:rPr>
          <w:rFonts w:ascii="Calibri" w:hAnsi="Calibri"/>
          <w:lang w:val="pt-BR"/>
        </w:rPr>
        <w:t xml:space="preserve"> de Soluções de Mercado</w:t>
      </w:r>
      <w:r w:rsidRPr="000B4C11">
        <w:rPr>
          <w:rFonts w:ascii="Calibri" w:hAnsi="Calibri"/>
          <w:lang w:val="pt-BR"/>
        </w:rPr>
        <w:t xml:space="preserve"> n.º </w:t>
      </w:r>
      <w:r>
        <w:rPr>
          <w:rFonts w:ascii="Calibri" w:hAnsi="Calibri"/>
          <w:lang w:val="pt-BR"/>
        </w:rPr>
        <w:t>02/2020 – Comunicado 03</w:t>
      </w:r>
    </w:p>
    <w:p w:rsidR="009600C6" w:rsidRDefault="009600C6" w:rsidP="00AE3263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tbl>
      <w:tblPr>
        <w:tblpPr w:leftFromText="141" w:rightFromText="141" w:bottomFromText="155" w:vertAnchor="text" w:tblpXSpec="center"/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3937"/>
        <w:gridCol w:w="2940"/>
      </w:tblGrid>
      <w:tr w:rsidR="009600C6" w:rsidRPr="009B7481" w:rsidTr="009600C6">
        <w:trPr>
          <w:trHeight w:val="257"/>
        </w:trPr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0C6" w:rsidRPr="00F610BA" w:rsidRDefault="009600C6" w:rsidP="009600C6">
            <w:pPr>
              <w:spacing w:line="276" w:lineRule="auto"/>
              <w:jc w:val="center"/>
              <w:rPr>
                <w:b/>
                <w:bCs/>
              </w:rPr>
            </w:pPr>
            <w:r w:rsidRPr="00F610BA">
              <w:rPr>
                <w:b/>
                <w:bCs/>
              </w:rPr>
              <w:t>Demanda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0C6" w:rsidRPr="00F610BA" w:rsidRDefault="009600C6" w:rsidP="009600C6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F610BA">
              <w:rPr>
                <w:b/>
                <w:bCs/>
              </w:rPr>
              <w:t>Foco/Ênfase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0C6" w:rsidRPr="00F610BA" w:rsidRDefault="009600C6" w:rsidP="009600C6">
            <w:pPr>
              <w:spacing w:line="276" w:lineRule="auto"/>
              <w:ind w:left="-108"/>
              <w:jc w:val="center"/>
              <w:rPr>
                <w:b/>
                <w:bCs/>
              </w:rPr>
            </w:pPr>
            <w:r w:rsidRPr="00F610BA">
              <w:rPr>
                <w:b/>
                <w:bCs/>
              </w:rPr>
              <w:t>Público-alvo (*)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Programas de Desenvolvimento de Startups</w:t>
            </w:r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pStyle w:val="PargrafodaLista"/>
              <w:spacing w:after="0"/>
              <w:ind w:left="318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</w:pPr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Programas de </w:t>
            </w:r>
            <w:proofErr w:type="spell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pré</w:t>
            </w:r>
            <w:proofErr w:type="spell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-aceleração de negócios inovadores para desenvolver modelos de negócios viáveis em fases iniciais ou avançadas. A solução deverá ter como foco a capacitação de empreendedores para a melhoria de suas ofertas, aumentando suas chances de êxito e contribuindo para negócios estruturados e preparados para o crescimento.  Através dos conceitos de </w:t>
            </w:r>
            <w:proofErr w:type="spell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lean</w:t>
            </w:r>
            <w:proofErr w:type="spell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 startup, </w:t>
            </w:r>
            <w:proofErr w:type="spell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customer</w:t>
            </w:r>
            <w:proofErr w:type="spell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development</w:t>
            </w:r>
            <w:proofErr w:type="spell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, business </w:t>
            </w:r>
            <w:proofErr w:type="spell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model</w:t>
            </w:r>
            <w:proofErr w:type="spell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 e design </w:t>
            </w:r>
            <w:proofErr w:type="spell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thinking</w:t>
            </w:r>
            <w:proofErr w:type="spell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, a solução </w:t>
            </w:r>
            <w:proofErr w:type="gramStart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deverá  auxiliar</w:t>
            </w:r>
            <w:proofErr w:type="gramEnd"/>
            <w:r w:rsidRPr="00E7434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 as startups participantes a encontrar/desenvolver um mercado sólido e conseguir escalar.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Startups Digitais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Programa Investidor Anjo</w:t>
            </w:r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A solução deverá ter como foco a capacitação de possíveis investidores anjos com a apresentação de metodologias, técnicas e fatores de sucesso para identificar </w:t>
            </w: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as melhores startups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>, montar tese de investimentos, descobrir quais os pontos de atenção na hora de fazer um aporte, ajudar a startup a captar as próximas rodadas e gerir portfólio de investimentos. Deve ainda apresentar os conceitos de investimento anjo, melhores práticas e processos para capacitar novos investidores para atuarem no segmento de startups. 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Empreendedores / Empresários / Executivos / Profissionais Liberais que tenham interesse em atuar como investidores-anjo.</w:t>
            </w:r>
          </w:p>
        </w:tc>
      </w:tr>
      <w:tr w:rsidR="009600C6" w:rsidRPr="00C3623C" w:rsidTr="009600C6">
        <w:trPr>
          <w:trHeight w:val="1263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Hacking</w:t>
            </w:r>
            <w:proofErr w:type="spellEnd"/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A solução deverá ter como foco a execução de evento presencial/on-line que reúne diferentes profissionais (programadores, designers e outros profissionais ligados ao desenvolvimento de software) em maratona de programação, cujo objetivo é desenvolver um software ou solução tecnológica que atenda a um fim específico.  Apoio no planejamento do evento, construção do desafio e cronograma de ações.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Programadores, designers e outros profissionais ligados ao desenvolvimento de software</w:t>
            </w:r>
          </w:p>
        </w:tc>
      </w:tr>
      <w:tr w:rsidR="009600C6" w:rsidRPr="00C3623C" w:rsidTr="009600C6">
        <w:trPr>
          <w:trHeight w:val="1263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Implantação e adequação dos serviços de Inspeção Municipal, e/ou adequação ao SUASA, e ao selo ARTE dos municípios </w:t>
            </w:r>
          </w:p>
          <w:p w:rsidR="009600C6" w:rsidRPr="00E74346" w:rsidRDefault="009600C6" w:rsidP="00960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9600C6" w:rsidRPr="00E74346" w:rsidRDefault="009600C6" w:rsidP="00960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Implantação dos serviços de Inspeção Municipal (SIM) de atenção a sanidade agropecuária e dos produtos cárneos e derivados de carnes, adequá-lo para equivalência ao SUASA – Sistema Único de Atenção a Sanidade </w:t>
            </w: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Agropecuária  e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>/ou ao selo ARTE para os produtos artesanais agroindustriais do município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Pequenos e médios municípios de Santa Catarina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6"/>
            </w:tblGrid>
            <w:tr w:rsidR="009600C6" w:rsidRPr="00E74346" w:rsidTr="009600C6">
              <w:trPr>
                <w:trHeight w:val="112"/>
              </w:trPr>
              <w:tc>
                <w:tcPr>
                  <w:tcW w:w="0" w:type="auto"/>
                </w:tcPr>
                <w:p w:rsidR="009600C6" w:rsidRPr="00E74346" w:rsidRDefault="009600C6" w:rsidP="009600C6">
                  <w:pPr>
                    <w:framePr w:hSpace="141" w:wrap="around" w:vAnchor="text" w:hAnchor="text" w:xAlign="center"/>
                    <w:spacing w:line="276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E7434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Plano Municipal de Gestão de Resíduos Sólidos </w:t>
                  </w:r>
                </w:p>
                <w:p w:rsidR="009600C6" w:rsidRPr="00E74346" w:rsidRDefault="009600C6" w:rsidP="009600C6">
                  <w:pPr>
                    <w:framePr w:hSpace="141" w:wrap="around" w:vAnchor="text" w:hAnchor="text" w:xAlign="center"/>
                    <w:spacing w:line="276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pStyle w:val="Default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E74346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A solução deve estabelecer um planejamento das ações de gestão de resíduos sólidos com a participação popular atendendo aos princípios da Política Nacional de Resíduos Sólidos (PNRS) – Lei Federal no 12.305 e das Resoluções do CONAMA 307/02 e 448/12 com vistas à melhoria da salubridade ambiental, a proteção dos recursos hídricos e promoção da saúde pública. Deve ainda, definir estratégias e programas para a gestão de resíduos sólidos, buscando reduzir a geração de resíduos na fonte, estabelecendo as práticas de reutilização e reciclagem (sempre que possível) e, também, a disposição final adequada; Garantir o efetivo controle social com a inserção de mecanismos de participação popular e de instrumentos institucionalizados para atuação nas áreas de regulação e fiscalização da prestação de serviços; Proporcionar condições de saneamento em condições sociais, ambientais e economicamente aceitáveis.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Pequenos e médios municípios de Santa Catarina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Preparação e adequação à Lei Geral de Proteção de Dados – LGPD </w:t>
            </w:r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sz w:val="20"/>
                <w:szCs w:val="20"/>
              </w:rPr>
              <w:t>Capacitação (treinamentos, cursos, oficinas) e/ou consultorias e/ou ferramentas de diagnóstico com foco na preparação, adequação à Lei Geral de Proteção de Dados (13.709/2018)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Pequenos negócios</w:t>
            </w:r>
          </w:p>
          <w:p w:rsidR="009600C6" w:rsidRPr="00E74346" w:rsidRDefault="009600C6" w:rsidP="009600C6">
            <w:pPr>
              <w:spacing w:line="276" w:lineRule="auto"/>
              <w:ind w:left="-10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(MEI, ME e EPP)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Agroturismo</w:t>
            </w:r>
            <w:proofErr w:type="spellEnd"/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Sensibilizações, capacitações e consultorias a grupos de ao menos 15 produtores rurais, pescadores e agricultores, para diagnóstico das potencialidades, organização, promoção e gestão de um roteiro agroturístico e inserção do produto no mercado, tanto para agências quanto clientes finais. A solução deve focar em estratégias de inclusão econômica, diversificação produtiva e aumento da renda desse público, principalmente os de menor porte, que têm dificuldades em sobreviver no cenário competitivo econômico atual.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MPEs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produtores rurais/pescadores/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aquicultores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e associações/cooperativas. 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Estruturação de Indicações Geográficas</w:t>
            </w:r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Sensibilizações, capacitações e consultorias a grupos de produtores e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MPEs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, para construção de um processo completo de pedido de registro de IG junto ao INPI, além de um plano de trabalho que contemple capacitações de atores e estruturação de </w:t>
            </w:r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 xml:space="preserve">uma governança, para gestão e promoção da IG.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lastRenderedPageBreak/>
              <w:t>MPEs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produtores rurais/pescadores/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aquicultores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e associações/cooperativas. </w:t>
            </w:r>
          </w:p>
        </w:tc>
      </w:tr>
      <w:tr w:rsidR="009600C6" w:rsidRPr="00C3623C" w:rsidTr="00E7434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Estruturação de Marcas Coletivas</w:t>
            </w:r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Sensibilizações, capacitações e consultorias a grupos de produtores e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MPEs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, com foco na construção de um projeto de valorização de um recurso territorial notório que culmine em um pedido de registro de Marca </w:t>
            </w:r>
            <w:proofErr w:type="gramStart"/>
            <w:r w:rsidRPr="00E74346">
              <w:rPr>
                <w:rFonts w:cstheme="minorHAnsi"/>
                <w:bCs/>
                <w:sz w:val="20"/>
                <w:szCs w:val="20"/>
              </w:rPr>
              <w:t>Coletiva  junto</w:t>
            </w:r>
            <w:proofErr w:type="gram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ao INPI, além de um plano de trabalho que contemple capacitações de atores e estruturação de uma governança, para gestão e promoção da MC.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346" w:rsidRDefault="00E74346" w:rsidP="00E7434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E74346" w:rsidRDefault="00E74346" w:rsidP="00E7434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9600C6" w:rsidRPr="00E74346" w:rsidRDefault="009600C6" w:rsidP="00E7434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MPEs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produtores rurais/pescadores/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aquicultores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e associações/cooperativas.</w:t>
            </w:r>
          </w:p>
          <w:p w:rsidR="009600C6" w:rsidRPr="00E74346" w:rsidRDefault="009600C6" w:rsidP="00E7434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9600C6" w:rsidRPr="00E74346" w:rsidRDefault="009600C6" w:rsidP="00E743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Desenvolvimento de habilidades soft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skills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e motivacionais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 xml:space="preserve">Soluções com foco em desenvolvimento de soft </w:t>
            </w: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skills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>, habilidades motivacionais, de liderança, trabalho em equipe, alta performance, autoconfiança, foco e disciplina em colaboradores. Objetivando o aumento de resultados.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</w:t>
            </w:r>
          </w:p>
        </w:tc>
      </w:tr>
      <w:tr w:rsidR="009600C6" w:rsidRPr="00C3623C" w:rsidTr="009600C6">
        <w:trPr>
          <w:trHeight w:val="25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346">
              <w:rPr>
                <w:rFonts w:cstheme="minorHAnsi"/>
                <w:bCs/>
                <w:sz w:val="20"/>
                <w:szCs w:val="20"/>
              </w:rPr>
              <w:t>Place</w:t>
            </w:r>
            <w:proofErr w:type="spellEnd"/>
            <w:r w:rsidRPr="00E74346">
              <w:rPr>
                <w:rFonts w:cstheme="minorHAnsi"/>
                <w:bCs/>
                <w:sz w:val="20"/>
                <w:szCs w:val="20"/>
              </w:rPr>
              <w:t xml:space="preserve"> Branding </w:t>
            </w:r>
          </w:p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(Marca para o Território)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Solução de consultoria com foco em mapeamento de estratégias, ações e projetos que impactem no posicionamento, na imagem e na identidade de um território. Deverá contemplar ainda a elaboração de soluções de design e campanhas de comunicação com aplicação da marca território, para difundir um novo conceito entre moradores, visitantes, turistas e investidores.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C6" w:rsidRPr="00E74346" w:rsidRDefault="009600C6" w:rsidP="009600C6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74346">
              <w:rPr>
                <w:rFonts w:cstheme="minorHAnsi"/>
                <w:bCs/>
                <w:sz w:val="20"/>
                <w:szCs w:val="20"/>
              </w:rPr>
              <w:t>ME, EPP</w:t>
            </w:r>
          </w:p>
        </w:tc>
      </w:tr>
    </w:tbl>
    <w:p w:rsidR="00FC6995" w:rsidRDefault="00FC6995"/>
    <w:sectPr w:rsidR="00FC6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30F9"/>
    <w:multiLevelType w:val="hybridMultilevel"/>
    <w:tmpl w:val="F49CA6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1C18"/>
    <w:multiLevelType w:val="hybridMultilevel"/>
    <w:tmpl w:val="BAF605C4"/>
    <w:lvl w:ilvl="0" w:tplc="0562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6CBB"/>
    <w:multiLevelType w:val="multilevel"/>
    <w:tmpl w:val="9E221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6DE5CDE"/>
    <w:multiLevelType w:val="hybridMultilevel"/>
    <w:tmpl w:val="1AA48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0349"/>
    <w:multiLevelType w:val="multilevel"/>
    <w:tmpl w:val="DB0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362158"/>
    <w:multiLevelType w:val="multilevel"/>
    <w:tmpl w:val="924CFB7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F66B2B"/>
    <w:multiLevelType w:val="hybridMultilevel"/>
    <w:tmpl w:val="2EA84074"/>
    <w:lvl w:ilvl="0" w:tplc="0562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24F3"/>
    <w:multiLevelType w:val="hybridMultilevel"/>
    <w:tmpl w:val="63C4C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063AD"/>
    <w:multiLevelType w:val="multilevel"/>
    <w:tmpl w:val="EC18F252"/>
    <w:lvl w:ilvl="0">
      <w:start w:val="4"/>
      <w:numFmt w:val="decimal"/>
      <w:pStyle w:val="sgc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51"/>
        </w:tabs>
        <w:ind w:left="9651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68BB184E"/>
    <w:multiLevelType w:val="multilevel"/>
    <w:tmpl w:val="2458BC74"/>
    <w:lvl w:ilvl="0">
      <w:start w:val="1"/>
      <w:numFmt w:val="lowerLetter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92C39"/>
    <w:multiLevelType w:val="multilevel"/>
    <w:tmpl w:val="2B4C66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1"/>
    <w:rsid w:val="00010019"/>
    <w:rsid w:val="000B4C11"/>
    <w:rsid w:val="000E223F"/>
    <w:rsid w:val="001658E8"/>
    <w:rsid w:val="001B57B4"/>
    <w:rsid w:val="001D3855"/>
    <w:rsid w:val="00212501"/>
    <w:rsid w:val="002C1101"/>
    <w:rsid w:val="00344D0A"/>
    <w:rsid w:val="00370A57"/>
    <w:rsid w:val="003A52B5"/>
    <w:rsid w:val="003E3919"/>
    <w:rsid w:val="003F2C46"/>
    <w:rsid w:val="004506C0"/>
    <w:rsid w:val="00471090"/>
    <w:rsid w:val="005463DC"/>
    <w:rsid w:val="00567FD1"/>
    <w:rsid w:val="005C7B6A"/>
    <w:rsid w:val="00613093"/>
    <w:rsid w:val="006156C8"/>
    <w:rsid w:val="00634019"/>
    <w:rsid w:val="006A2FAE"/>
    <w:rsid w:val="006C31A6"/>
    <w:rsid w:val="00705DE2"/>
    <w:rsid w:val="007710EE"/>
    <w:rsid w:val="0090045E"/>
    <w:rsid w:val="00953324"/>
    <w:rsid w:val="009600C6"/>
    <w:rsid w:val="009D45C2"/>
    <w:rsid w:val="00A0512B"/>
    <w:rsid w:val="00A07B7B"/>
    <w:rsid w:val="00A96423"/>
    <w:rsid w:val="00AE3263"/>
    <w:rsid w:val="00AE5ABE"/>
    <w:rsid w:val="00BF6EE4"/>
    <w:rsid w:val="00C35BA6"/>
    <w:rsid w:val="00D7761B"/>
    <w:rsid w:val="00D85284"/>
    <w:rsid w:val="00DE55A1"/>
    <w:rsid w:val="00E32A53"/>
    <w:rsid w:val="00E74346"/>
    <w:rsid w:val="00E81A61"/>
    <w:rsid w:val="00ED1338"/>
    <w:rsid w:val="00F407B1"/>
    <w:rsid w:val="00F84F45"/>
    <w:rsid w:val="00FC6995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378E-D23E-4B88-958C-2C48C5FF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2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07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4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407B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pt-BR"/>
    </w:rPr>
  </w:style>
  <w:style w:type="paragraph" w:customStyle="1" w:styleId="sgc">
    <w:name w:val="sgc"/>
    <w:basedOn w:val="Ttulo"/>
    <w:link w:val="sgcChar"/>
    <w:qFormat/>
    <w:rsid w:val="00E81A61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2"/>
      <w:szCs w:val="22"/>
      <w:lang w:val="x-none" w:eastAsia="x-none"/>
    </w:rPr>
  </w:style>
  <w:style w:type="character" w:customStyle="1" w:styleId="sgcChar">
    <w:name w:val="sgc Char"/>
    <w:link w:val="sgc"/>
    <w:rsid w:val="00E81A61"/>
    <w:rPr>
      <w:rFonts w:ascii="Arial" w:eastAsia="Times New Roman" w:hAnsi="Arial" w:cs="Times New Roman"/>
      <w:b/>
      <w:shd w:val="clear" w:color="auto" w:fill="E0E0E0"/>
      <w:lang w:val="x-none" w:eastAsia="x-none"/>
    </w:rPr>
  </w:style>
  <w:style w:type="paragraph" w:styleId="Ttulo">
    <w:name w:val="Title"/>
    <w:basedOn w:val="Normal"/>
    <w:next w:val="Normal"/>
    <w:link w:val="TtuloChar"/>
    <w:uiPriority w:val="10"/>
    <w:qFormat/>
    <w:rsid w:val="00E81A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rsid w:val="00E81A6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2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ormal1">
    <w:name w:val="Normal1"/>
    <w:rsid w:val="003A52B5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C6995"/>
    <w:rPr>
      <w:i/>
      <w:iCs/>
    </w:rPr>
  </w:style>
  <w:style w:type="paragraph" w:customStyle="1" w:styleId="xxmsonormal">
    <w:name w:val="x_xmsonormal"/>
    <w:basedOn w:val="Normal"/>
    <w:uiPriority w:val="99"/>
    <w:rsid w:val="00FC6995"/>
    <w:pPr>
      <w:spacing w:after="0" w:line="240" w:lineRule="auto"/>
    </w:pPr>
    <w:rPr>
      <w:rFonts w:ascii="Calibri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15</Pages>
  <Words>5411</Words>
  <Characters>29225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Peluso</dc:creator>
  <cp:keywords/>
  <dc:description/>
  <cp:lastModifiedBy>Mariana Peluso</cp:lastModifiedBy>
  <cp:revision>6</cp:revision>
  <dcterms:created xsi:type="dcterms:W3CDTF">2021-03-12T14:57:00Z</dcterms:created>
  <dcterms:modified xsi:type="dcterms:W3CDTF">2021-03-15T12:15:00Z</dcterms:modified>
</cp:coreProperties>
</file>